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6CD45B8F"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8321DF">
        <w:rPr>
          <w:rFonts w:cs="Arial"/>
          <w:sz w:val="24"/>
          <w:szCs w:val="24"/>
          <w:lang w:eastAsia="zh-CN"/>
        </w:rPr>
        <w:t>5</w:t>
      </w:r>
      <w:r w:rsidRPr="006D409C">
        <w:rPr>
          <w:rFonts w:cs="Arial"/>
          <w:sz w:val="24"/>
          <w:szCs w:val="24"/>
          <w:lang w:eastAsia="zh-CN"/>
        </w:rPr>
        <w:tab/>
      </w:r>
      <w:r w:rsidR="00F14CE7" w:rsidRPr="00F14CE7">
        <w:rPr>
          <w:rFonts w:cs="Arial"/>
          <w:sz w:val="24"/>
          <w:szCs w:val="24"/>
          <w:lang w:eastAsia="zh-CN"/>
        </w:rPr>
        <w:t>R4-2505760</w:t>
      </w:r>
    </w:p>
    <w:p w14:paraId="11C5130E" w14:textId="77777777" w:rsidR="008321DF" w:rsidRPr="00F542A0" w:rsidRDefault="008321DF" w:rsidP="008321DF">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p w14:paraId="3EA1A6F3" w14:textId="724B3DCE" w:rsidR="004E3E93" w:rsidRPr="003B73B5" w:rsidRDefault="004E3E93" w:rsidP="003B73B5">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rPr>
        <w:t>7.10</w:t>
      </w:r>
      <w:r w:rsidR="008321DF">
        <w:rPr>
          <w:rFonts w:ascii="Arial" w:hAnsi="Arial" w:cs="Arial"/>
          <w:b/>
        </w:rPr>
        <w:t>.3.3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38738566"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D5CCE">
        <w:rPr>
          <w:rFonts w:ascii="Arial" w:hAnsi="Arial" w:cs="Arial"/>
          <w:b/>
        </w:rPr>
        <w:t>IoT-NTN</w:t>
      </w:r>
    </w:p>
    <w:p w14:paraId="1AE2556E" w14:textId="67D52C92"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F46A7A">
        <w:rPr>
          <w:rFonts w:ascii="Arial" w:hAnsi="Arial" w:cs="Arial"/>
          <w:b/>
        </w:rPr>
        <w:t>Discussion</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3113470" w:rsidR="003B73B5" w:rsidRDefault="003B73B5" w:rsidP="003B73B5">
      <w:pPr>
        <w:rPr>
          <w:lang w:val="sv-SE"/>
        </w:rPr>
      </w:pPr>
      <w:r>
        <w:rPr>
          <w:rFonts w:hint="eastAsia"/>
          <w:lang w:val="sv-SE"/>
        </w:rPr>
        <w:t>R</w:t>
      </w:r>
      <w:r>
        <w:rPr>
          <w:lang w:val="sv-SE"/>
        </w:rPr>
        <w:t>el-19 NTN agreed to introduce HPUE for NR-NTN</w:t>
      </w:r>
      <w:r w:rsidR="003D5CCE">
        <w:rPr>
          <w:lang w:val="sv-SE"/>
        </w:rPr>
        <w:t xml:space="preserve">/Iot-NTN operation: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textAlignment w:val="auto"/>
            </w:pPr>
            <w:r>
              <w:t>Specify high power UE (HPUE) for NR-NTN (Non-Terrestrial Networks) and IoT-NTN (NB-IoT and eMTC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Specify the necessary signaling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3526690A" w:rsidR="00C74205" w:rsidRDefault="00C74205" w:rsidP="00C74205">
      <w:pPr>
        <w:rPr>
          <w:b/>
          <w:bCs/>
        </w:rPr>
      </w:pPr>
      <w:r w:rsidRPr="00C74205">
        <w:rPr>
          <w:rFonts w:hint="eastAsia"/>
          <w:b/>
          <w:bCs/>
        </w:rPr>
        <w:t>A</w:t>
      </w:r>
      <w:r w:rsidRPr="00C74205">
        <w:rPr>
          <w:b/>
          <w:bCs/>
        </w:rPr>
        <w:t>CLR requirements</w:t>
      </w:r>
    </w:p>
    <w:p w14:paraId="46A73B34" w14:textId="056F8C02" w:rsidR="00C74205" w:rsidRDefault="00C74205" w:rsidP="00C74205">
      <w:r>
        <w:t>I</w:t>
      </w:r>
      <w:r>
        <w:rPr>
          <w:rFonts w:hint="eastAsia"/>
        </w:rPr>
        <w:t>n</w:t>
      </w:r>
      <w:r>
        <w:t xml:space="preserve"> </w:t>
      </w:r>
      <w:r>
        <w:rPr>
          <w:rFonts w:hint="eastAsia"/>
        </w:rPr>
        <w:t>last</w:t>
      </w:r>
      <w:r>
        <w:t xml:space="preserve"> </w:t>
      </w:r>
      <w:r>
        <w:rPr>
          <w:rFonts w:hint="eastAsia"/>
        </w:rPr>
        <w:t>RAN</w:t>
      </w:r>
      <w:r>
        <w:t xml:space="preserve">4 </w:t>
      </w:r>
      <w:r>
        <w:rPr>
          <w:rFonts w:hint="eastAsia"/>
        </w:rPr>
        <w:t>meeting</w:t>
      </w:r>
      <w:r>
        <w:t>, initial conclusion</w:t>
      </w:r>
      <w:r w:rsidR="00335E88">
        <w:t xml:space="preserve"> was</w:t>
      </w:r>
      <w:r>
        <w:t xml:space="preserve">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20246BBD" w14:textId="77777777" w:rsidR="00265179" w:rsidRPr="00CD5554" w:rsidRDefault="00265179" w:rsidP="00265179">
            <w:pPr>
              <w:rPr>
                <w:b/>
                <w:u w:val="single"/>
                <w:lang w:eastAsia="ko-KR"/>
              </w:rPr>
            </w:pPr>
            <w:r w:rsidRPr="00CD5554">
              <w:rPr>
                <w:b/>
                <w:u w:val="single"/>
                <w:lang w:eastAsia="ko-KR"/>
              </w:rPr>
              <w:t>Issue 1-1</w:t>
            </w:r>
            <w:r w:rsidRPr="00CD5554">
              <w:rPr>
                <w:rFonts w:hint="eastAsia"/>
                <w:b/>
                <w:u w:val="single"/>
                <w:lang w:eastAsia="zh-CN"/>
              </w:rPr>
              <w:t>-2</w:t>
            </w:r>
            <w:r w:rsidRPr="00CD5554">
              <w:rPr>
                <w:b/>
                <w:u w:val="single"/>
                <w:lang w:eastAsia="ko-KR"/>
              </w:rPr>
              <w:t>: ACLR for eMTC based Iot-NTN for PC1/2;</w:t>
            </w:r>
          </w:p>
          <w:p w14:paraId="3045F83E" w14:textId="77777777" w:rsidR="00265179" w:rsidRPr="00CD5554" w:rsidRDefault="00265179" w:rsidP="00265179">
            <w:pPr>
              <w:rPr>
                <w:iCs/>
                <w:lang w:eastAsia="zh-CN"/>
              </w:rPr>
            </w:pPr>
            <w:r w:rsidRPr="00CD5554">
              <w:rPr>
                <w:rFonts w:hint="eastAsia"/>
                <w:iCs/>
                <w:lang w:eastAsia="zh-CN"/>
              </w:rPr>
              <w:t>A</w:t>
            </w:r>
            <w:r w:rsidRPr="00CD5554">
              <w:rPr>
                <w:iCs/>
                <w:lang w:eastAsia="zh-CN"/>
              </w:rPr>
              <w:t>greement:</w:t>
            </w:r>
          </w:p>
          <w:p w14:paraId="0751406A" w14:textId="77777777" w:rsidR="00265179" w:rsidRPr="00CD5554" w:rsidRDefault="00265179" w:rsidP="00265179">
            <w:pPr>
              <w:rPr>
                <w:szCs w:val="24"/>
                <w:lang w:eastAsia="zh-CN"/>
              </w:rPr>
            </w:pPr>
            <w:r w:rsidRPr="00CD5554">
              <w:rPr>
                <w:szCs w:val="24"/>
                <w:lang w:eastAsia="zh-CN"/>
              </w:rPr>
              <w:t>o</w:t>
            </w:r>
            <w:r w:rsidRPr="00CD5554">
              <w:rPr>
                <w:szCs w:val="24"/>
                <w:lang w:eastAsia="zh-CN"/>
              </w:rPr>
              <w:tab/>
              <w:t>Option 1: Re-use PC3 eMTC based Iot-NTN ACLR 30dBc.</w:t>
            </w:r>
          </w:p>
          <w:p w14:paraId="2147902E" w14:textId="6B99DFE7" w:rsidR="00C74205" w:rsidRPr="00E713C0" w:rsidRDefault="00265179" w:rsidP="00E713C0">
            <w:pPr>
              <w:rPr>
                <w:rFonts w:eastAsiaTheme="minorEastAsia"/>
                <w:szCs w:val="24"/>
                <w:lang w:eastAsia="zh-CN"/>
              </w:rPr>
            </w:pPr>
            <w:r w:rsidRPr="00CD5554">
              <w:rPr>
                <w:szCs w:val="24"/>
                <w:lang w:eastAsia="zh-CN"/>
              </w:rPr>
              <w:t>o</w:t>
            </w:r>
            <w:r w:rsidRPr="00CD5554">
              <w:rPr>
                <w:szCs w:val="24"/>
                <w:lang w:eastAsia="zh-CN"/>
              </w:rPr>
              <w:tab/>
              <w:t>Option 2: 31dBc ACLR</w:t>
            </w:r>
          </w:p>
        </w:tc>
      </w:tr>
    </w:tbl>
    <w:p w14:paraId="5E572B3C" w14:textId="77777777" w:rsidR="003E3AAD" w:rsidRDefault="003E3AAD" w:rsidP="00C74205"/>
    <w:p w14:paraId="3DC48129" w14:textId="5122730A" w:rsidR="00C74205" w:rsidRDefault="00C74205" w:rsidP="00C74205">
      <w:bookmarkStart w:id="0" w:name="OLE_LINK1"/>
      <w:r>
        <w:rPr>
          <w:rFonts w:hint="eastAsia"/>
        </w:rPr>
        <w:t>O</w:t>
      </w:r>
      <w:r>
        <w:t>n isolation distance, we prefer to align with previous assumption the deployment scenario and restriction shall be c</w:t>
      </w:r>
      <w:r w:rsidRPr="00C74205">
        <w:t>onsistency</w:t>
      </w:r>
      <w:r>
        <w:t xml:space="preserve"> independent to device power classes which belongs to UE capability.</w:t>
      </w:r>
    </w:p>
    <w:p w14:paraId="5726DBED" w14:textId="57C1194B" w:rsidR="00C74205" w:rsidRDefault="00F67874" w:rsidP="00C74205">
      <w:r>
        <w:t xml:space="preserve">On NTN operation, the critical issue is coverage due to long distance between satellite over the space to terminal. With reasonable ACLR, it will bring benefits to improve uplink coverage with less MPR and or A-MPR. </w:t>
      </w:r>
    </w:p>
    <w:p w14:paraId="33071351" w14:textId="67760D98" w:rsidR="00F67874" w:rsidRDefault="00F67874" w:rsidP="00C74205">
      <w:r>
        <w:t>Based on above consideration, we suggest to specify following ACLR values</w:t>
      </w:r>
      <w:r>
        <w:rPr>
          <w:rFonts w:hint="eastAsia"/>
        </w:rPr>
        <w:t>:</w:t>
      </w:r>
    </w:p>
    <w:bookmarkEnd w:id="0"/>
    <w:p w14:paraId="53B20A34" w14:textId="18B4FFFD" w:rsidR="00F67874" w:rsidRPr="00E713C0" w:rsidRDefault="00F67874" w:rsidP="00C74205">
      <w:pPr>
        <w:rPr>
          <w:b/>
          <w:bCs/>
        </w:rPr>
      </w:pPr>
      <w:r w:rsidRPr="00E713C0">
        <w:rPr>
          <w:rFonts w:hint="eastAsia"/>
          <w:b/>
          <w:bCs/>
        </w:rPr>
        <w:t>P</w:t>
      </w:r>
      <w:r w:rsidRPr="00E713C0">
        <w:rPr>
          <w:b/>
          <w:bCs/>
        </w:rPr>
        <w:t>roposal 1:</w:t>
      </w:r>
      <w:r w:rsidR="00E713C0" w:rsidRPr="00E713C0">
        <w:rPr>
          <w:b/>
          <w:bCs/>
        </w:rPr>
        <w:t xml:space="preserve"> For PC1</w:t>
      </w:r>
      <w:r w:rsidRPr="00E713C0">
        <w:rPr>
          <w:b/>
          <w:bCs/>
        </w:rPr>
        <w:t xml:space="preserve"> </w:t>
      </w:r>
      <w:r w:rsidR="00265179" w:rsidRPr="00E713C0">
        <w:rPr>
          <w:b/>
          <w:lang w:eastAsia="ko-KR"/>
        </w:rPr>
        <w:t>eMTC based Iot-NTN HPUE</w:t>
      </w:r>
      <w:r w:rsidR="003D5CCE" w:rsidRPr="00E713C0">
        <w:rPr>
          <w:b/>
          <w:bCs/>
        </w:rPr>
        <w:t xml:space="preserve"> ACLR</w:t>
      </w:r>
      <w:r w:rsidR="00E713C0" w:rsidRPr="00E713C0">
        <w:rPr>
          <w:b/>
          <w:bCs/>
        </w:rPr>
        <w:t xml:space="preserve"> can be determine as 31dB</w:t>
      </w:r>
      <w:r w:rsidR="00E713C0" w:rsidRPr="00E713C0">
        <w:rPr>
          <w:rFonts w:hint="eastAsia"/>
          <w:b/>
          <w:bCs/>
          <w:lang w:eastAsia="zh-CN"/>
        </w:rPr>
        <w:t>c</w:t>
      </w:r>
    </w:p>
    <w:p w14:paraId="294CBA60" w14:textId="22F14243" w:rsidR="003E3AAD" w:rsidRDefault="003E3AAD" w:rsidP="004C069C">
      <w:pPr>
        <w:rPr>
          <w:b/>
          <w:bCs/>
          <w:lang w:eastAsia="zh-CN"/>
        </w:rPr>
      </w:pPr>
    </w:p>
    <w:p w14:paraId="291FBC3B" w14:textId="0EE0D728" w:rsidR="00F916C1" w:rsidRPr="00F916C1" w:rsidRDefault="00F916C1" w:rsidP="00F916C1">
      <w:pPr>
        <w:rPr>
          <w:rFonts w:eastAsiaTheme="minorEastAsia"/>
          <w:lang w:eastAsia="zh-CN"/>
        </w:rPr>
      </w:pPr>
      <w:r w:rsidRPr="00F916C1">
        <w:rPr>
          <w:rFonts w:eastAsiaTheme="minorEastAsia"/>
          <w:lang w:eastAsia="zh-CN"/>
        </w:rPr>
        <w:t>In TS 36.101, P-MPR isn't exclusive to handheld UEs. It's a power management mechanism ensuring the UE's transmit power meets electromagnetic radiation safety and regulations across various scenarios.</w:t>
      </w:r>
    </w:p>
    <w:p w14:paraId="12D8E3B4" w14:textId="26A6D969" w:rsidR="00F916C1" w:rsidRPr="00F916C1" w:rsidRDefault="00F916C1" w:rsidP="00F916C1">
      <w:pPr>
        <w:rPr>
          <w:rFonts w:eastAsiaTheme="minorEastAsia"/>
          <w:lang w:eastAsia="zh-CN"/>
        </w:rPr>
      </w:pPr>
      <w:r w:rsidRPr="00F916C1">
        <w:rPr>
          <w:rFonts w:eastAsiaTheme="minorEastAsia"/>
          <w:lang w:eastAsia="zh-CN"/>
        </w:rPr>
        <w:t>While P-MPR is common in handheld devices, especially when users hold them close to their heads or bodies</w:t>
      </w:r>
      <w:r w:rsidR="00E1600F">
        <w:rPr>
          <w:rFonts w:eastAsiaTheme="minorEastAsia"/>
          <w:lang w:eastAsia="zh-CN"/>
        </w:rPr>
        <w:t xml:space="preserve"> due to SAR issue</w:t>
      </w:r>
      <w:r w:rsidRPr="00F916C1">
        <w:rPr>
          <w:rFonts w:eastAsiaTheme="minorEastAsia"/>
          <w:lang w:eastAsia="zh-CN"/>
        </w:rPr>
        <w:t>, it also applies to other UE types</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sidRPr="00F916C1">
        <w:rPr>
          <w:rFonts w:eastAsiaTheme="minorEastAsia"/>
          <w:lang w:eastAsia="zh-CN"/>
        </w:rPr>
        <w:t>Vehicle-mounted UEs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Pr="00F916C1">
        <w:rPr>
          <w:rFonts w:eastAsiaTheme="minorEastAsia"/>
          <w:lang w:eastAsia="zh-CN"/>
        </w:rPr>
        <w:t>Fixed-installed UEs</w:t>
      </w:r>
      <w:r>
        <w:rPr>
          <w:rFonts w:eastAsiaTheme="minorEastAsia" w:hint="eastAsia"/>
          <w:lang w:eastAsia="zh-CN"/>
        </w:rPr>
        <w:t>.</w:t>
      </w:r>
      <w:r w:rsidRPr="00F916C1">
        <w:rPr>
          <w:rFonts w:eastAsiaTheme="minorEastAsia"/>
          <w:lang w:eastAsia="zh-CN"/>
        </w:rPr>
        <w:t xml:space="preserve"> </w:t>
      </w:r>
    </w:p>
    <w:p w14:paraId="2A87A6F8" w14:textId="69EF516E" w:rsidR="007464E1" w:rsidRDefault="00F916C1" w:rsidP="00F916C1">
      <w:pPr>
        <w:rPr>
          <w:rFonts w:eastAsiaTheme="minorEastAsia"/>
          <w:lang w:eastAsia="zh-CN"/>
        </w:rPr>
      </w:pPr>
      <w:r w:rsidRPr="00F916C1">
        <w:rPr>
          <w:rFonts w:eastAsiaTheme="minorEastAsia"/>
          <w:lang w:eastAsia="zh-CN"/>
        </w:rPr>
        <w:t xml:space="preserve">Thus, P-MPR is a general power management parameter for various UE devices, not just handheld ones. </w:t>
      </w:r>
      <w:r w:rsidR="00A13FFE">
        <w:rPr>
          <w:rFonts w:eastAsiaTheme="minorEastAsia"/>
          <w:lang w:eastAsia="zh-CN"/>
        </w:rPr>
        <w:t xml:space="preserve"> </w:t>
      </w:r>
    </w:p>
    <w:p w14:paraId="1D13E352" w14:textId="1A0F410E" w:rsidR="00E1600F" w:rsidRDefault="00E1600F" w:rsidP="00F916C1">
      <w:pPr>
        <w:rPr>
          <w:rFonts w:eastAsiaTheme="minorEastAsia"/>
          <w:b/>
          <w:bCs/>
          <w:lang w:eastAsia="zh-CN"/>
        </w:rPr>
      </w:pPr>
      <w:r w:rsidRPr="00C51546">
        <w:rPr>
          <w:rFonts w:eastAsiaTheme="minorEastAsia" w:hint="eastAsia"/>
          <w:b/>
          <w:bCs/>
          <w:lang w:eastAsia="zh-CN"/>
        </w:rPr>
        <w:t>P</w:t>
      </w:r>
      <w:r w:rsidRPr="00C51546">
        <w:rPr>
          <w:rFonts w:eastAsiaTheme="minorEastAsia"/>
          <w:b/>
          <w:bCs/>
          <w:lang w:eastAsia="zh-CN"/>
        </w:rPr>
        <w:t xml:space="preserve">roposal </w:t>
      </w:r>
      <w:r w:rsidR="00B54E52">
        <w:rPr>
          <w:rFonts w:eastAsiaTheme="minorEastAsia"/>
          <w:b/>
          <w:bCs/>
          <w:lang w:eastAsia="zh-CN"/>
        </w:rPr>
        <w:t>2</w:t>
      </w:r>
      <w:r w:rsidRPr="00C51546">
        <w:rPr>
          <w:rFonts w:eastAsiaTheme="minorEastAsia"/>
          <w:b/>
          <w:bCs/>
          <w:lang w:eastAsia="zh-CN"/>
        </w:rPr>
        <w:t>: RAN4 should consider P-MPR for both handheld UEs and non-handheld UEs</w:t>
      </w:r>
    </w:p>
    <w:p w14:paraId="6BC05B96" w14:textId="77777777" w:rsidR="00020D87" w:rsidRPr="00437A43" w:rsidRDefault="00020D87" w:rsidP="00020D87">
      <w:pPr>
        <w:pStyle w:val="3"/>
        <w:numPr>
          <w:ilvl w:val="0"/>
          <w:numId w:val="0"/>
        </w:numPr>
        <w:ind w:left="720" w:hanging="720"/>
        <w:rPr>
          <w:sz w:val="24"/>
          <w:szCs w:val="16"/>
        </w:rPr>
      </w:pPr>
      <w:r w:rsidRPr="00437A43">
        <w:rPr>
          <w:rFonts w:hint="eastAsia"/>
          <w:sz w:val="24"/>
          <w:szCs w:val="16"/>
        </w:rPr>
        <w:t>RSD (for full duplex eMTC based)</w:t>
      </w:r>
    </w:p>
    <w:tbl>
      <w:tblPr>
        <w:tblStyle w:val="afd"/>
        <w:tblW w:w="0" w:type="auto"/>
        <w:tblLook w:val="04A0" w:firstRow="1" w:lastRow="0" w:firstColumn="1" w:lastColumn="0" w:noHBand="0" w:noVBand="1"/>
      </w:tblPr>
      <w:tblGrid>
        <w:gridCol w:w="9631"/>
      </w:tblGrid>
      <w:tr w:rsidR="00020D87" w14:paraId="13A89D87" w14:textId="77777777" w:rsidTr="00020D87">
        <w:tc>
          <w:tcPr>
            <w:tcW w:w="9631" w:type="dxa"/>
          </w:tcPr>
          <w:p w14:paraId="46AFF0ED" w14:textId="77777777" w:rsidR="00020D87" w:rsidRPr="00437A43" w:rsidRDefault="00020D87" w:rsidP="00020D87">
            <w:pPr>
              <w:rPr>
                <w:b/>
                <w:u w:val="single"/>
                <w:lang w:eastAsia="ko-KR"/>
              </w:rPr>
            </w:pPr>
            <w:r w:rsidRPr="00437A43">
              <w:rPr>
                <w:b/>
                <w:u w:val="single"/>
                <w:lang w:eastAsia="ko-KR"/>
              </w:rPr>
              <w:t xml:space="preserve">Issue </w:t>
            </w:r>
            <w:r w:rsidRPr="00437A43">
              <w:rPr>
                <w:b/>
                <w:u w:val="single"/>
                <w:lang w:eastAsia="zh-CN"/>
              </w:rPr>
              <w:t>3</w:t>
            </w:r>
            <w:r w:rsidRPr="00437A43">
              <w:rPr>
                <w:rFonts w:hint="eastAsia"/>
                <w:b/>
                <w:u w:val="single"/>
                <w:lang w:eastAsia="zh-CN"/>
              </w:rPr>
              <w:t>-</w:t>
            </w:r>
            <w:r w:rsidRPr="00437A43">
              <w:rPr>
                <w:b/>
                <w:u w:val="single"/>
                <w:lang w:eastAsia="ko-KR"/>
              </w:rPr>
              <w:t>1-</w:t>
            </w:r>
            <w:r w:rsidRPr="00437A43">
              <w:rPr>
                <w:b/>
                <w:u w:val="single"/>
                <w:lang w:eastAsia="zh-CN"/>
              </w:rPr>
              <w:t>1</w:t>
            </w:r>
            <w:r w:rsidRPr="00437A43">
              <w:rPr>
                <w:b/>
                <w:u w:val="single"/>
                <w:lang w:eastAsia="ko-KR"/>
              </w:rPr>
              <w:t xml:space="preserve">: </w:t>
            </w:r>
            <w:r w:rsidRPr="00437A43">
              <w:rPr>
                <w:rFonts w:hint="eastAsia"/>
                <w:b/>
                <w:u w:val="single"/>
                <w:lang w:eastAsia="zh-CN"/>
              </w:rPr>
              <w:t xml:space="preserve">PC2 </w:t>
            </w:r>
            <w:r w:rsidRPr="00437A43">
              <w:rPr>
                <w:b/>
                <w:u w:val="single"/>
                <w:lang w:eastAsia="zh-CN"/>
              </w:rPr>
              <w:t xml:space="preserve">1Tx </w:t>
            </w:r>
            <w:r w:rsidRPr="00437A43">
              <w:rPr>
                <w:rFonts w:hint="eastAsia"/>
                <w:b/>
                <w:u w:val="single"/>
                <w:lang w:eastAsia="zh-CN"/>
              </w:rPr>
              <w:t>RSD</w:t>
            </w:r>
            <w:r w:rsidRPr="00437A43">
              <w:rPr>
                <w:b/>
                <w:u w:val="single"/>
                <w:lang w:eastAsia="zh-CN"/>
              </w:rPr>
              <w:t xml:space="preserve"> (full duplex eMTC based)</w:t>
            </w:r>
          </w:p>
          <w:p w14:paraId="66BA91DE" w14:textId="77777777" w:rsidR="00020D87" w:rsidRPr="00437A43" w:rsidRDefault="00020D87" w:rsidP="00020D87">
            <w:pPr>
              <w:pStyle w:val="aff6"/>
              <w:numPr>
                <w:ilvl w:val="0"/>
                <w:numId w:val="39"/>
              </w:numPr>
              <w:spacing w:after="120" w:line="240" w:lineRule="auto"/>
              <w:ind w:firstLineChars="0"/>
              <w:jc w:val="left"/>
              <w:rPr>
                <w:szCs w:val="24"/>
                <w:lang w:eastAsia="zh-CN"/>
              </w:rPr>
            </w:pPr>
            <w:r w:rsidRPr="00437A43">
              <w:rPr>
                <w:szCs w:val="24"/>
                <w:lang w:eastAsia="zh-CN"/>
              </w:rPr>
              <w:t>Proposals</w:t>
            </w:r>
          </w:p>
          <w:p w14:paraId="1E7AEB09" w14:textId="77777777" w:rsidR="00020D87" w:rsidRPr="00437A43" w:rsidRDefault="00020D87" w:rsidP="00020D87">
            <w:pPr>
              <w:pStyle w:val="aff6"/>
              <w:numPr>
                <w:ilvl w:val="1"/>
                <w:numId w:val="39"/>
              </w:numPr>
              <w:spacing w:after="120" w:line="240" w:lineRule="auto"/>
              <w:ind w:firstLineChars="0"/>
              <w:jc w:val="left"/>
              <w:rPr>
                <w:szCs w:val="24"/>
                <w:lang w:eastAsia="zh-CN"/>
              </w:rPr>
            </w:pPr>
            <w:r w:rsidRPr="00437A43">
              <w:rPr>
                <w:rFonts w:hint="eastAsia"/>
                <w:szCs w:val="24"/>
                <w:lang w:eastAsia="zh-CN"/>
              </w:rPr>
              <w:t>R</w:t>
            </w:r>
            <w:r w:rsidRPr="00437A43">
              <w:rPr>
                <w:szCs w:val="24"/>
                <w:lang w:eastAsia="zh-CN"/>
              </w:rPr>
              <w:t>eference sensitivity values</w:t>
            </w:r>
          </w:p>
          <w:p w14:paraId="6C9775A2" w14:textId="77777777" w:rsidR="00020D87" w:rsidRPr="00437A43" w:rsidRDefault="00020D87" w:rsidP="00020D87">
            <w:pPr>
              <w:pStyle w:val="aff6"/>
              <w:numPr>
                <w:ilvl w:val="2"/>
                <w:numId w:val="39"/>
              </w:numPr>
              <w:spacing w:after="120" w:line="240" w:lineRule="auto"/>
              <w:ind w:firstLineChars="0"/>
              <w:jc w:val="left"/>
              <w:rPr>
                <w:szCs w:val="24"/>
                <w:lang w:eastAsia="zh-CN"/>
              </w:rPr>
            </w:pPr>
            <w:r w:rsidRPr="00437A43">
              <w:rPr>
                <w:rFonts w:hint="eastAsia"/>
                <w:szCs w:val="24"/>
                <w:lang w:eastAsia="zh-CN"/>
              </w:rPr>
              <w:t xml:space="preserve">256: </w:t>
            </w:r>
          </w:p>
          <w:p w14:paraId="0988BEFE" w14:textId="77777777" w:rsidR="00020D87" w:rsidRPr="00437A43" w:rsidRDefault="00020D87" w:rsidP="00020D87">
            <w:pPr>
              <w:pStyle w:val="aff6"/>
              <w:numPr>
                <w:ilvl w:val="3"/>
                <w:numId w:val="39"/>
              </w:numPr>
              <w:spacing w:after="120" w:line="240" w:lineRule="auto"/>
              <w:ind w:firstLineChars="0"/>
              <w:jc w:val="left"/>
              <w:rPr>
                <w:szCs w:val="24"/>
                <w:lang w:eastAsia="zh-CN"/>
              </w:rPr>
            </w:pPr>
            <w:r w:rsidRPr="00437A43">
              <w:rPr>
                <w:szCs w:val="24"/>
                <w:lang w:eastAsia="zh-CN"/>
              </w:rPr>
              <w:t xml:space="preserve">0 </w:t>
            </w:r>
            <w:r w:rsidRPr="00437A43">
              <w:rPr>
                <w:rFonts w:hint="eastAsia"/>
                <w:szCs w:val="24"/>
                <w:lang w:eastAsia="zh-CN"/>
              </w:rPr>
              <w:t>dB (</w:t>
            </w:r>
            <w:r w:rsidRPr="00437A43">
              <w:rPr>
                <w:szCs w:val="24"/>
                <w:lang w:eastAsia="zh-CN"/>
              </w:rPr>
              <w:t xml:space="preserve">MTK, </w:t>
            </w:r>
            <w:r w:rsidRPr="00437A43">
              <w:rPr>
                <w:rFonts w:hint="eastAsia"/>
                <w:szCs w:val="24"/>
                <w:lang w:eastAsia="zh-CN"/>
              </w:rPr>
              <w:t>Sa</w:t>
            </w:r>
            <w:r w:rsidRPr="00437A43">
              <w:rPr>
                <w:szCs w:val="24"/>
                <w:lang w:eastAsia="zh-CN"/>
              </w:rPr>
              <w:t>msung, Ericsson</w:t>
            </w:r>
            <w:r w:rsidRPr="00437A43">
              <w:rPr>
                <w:rFonts w:hint="eastAsia"/>
                <w:szCs w:val="24"/>
                <w:lang w:eastAsia="zh-CN"/>
              </w:rPr>
              <w:t>)</w:t>
            </w:r>
          </w:p>
          <w:p w14:paraId="5E13C28E" w14:textId="77777777" w:rsidR="00020D87" w:rsidRPr="00437A43" w:rsidRDefault="00020D87" w:rsidP="00020D87">
            <w:pPr>
              <w:pStyle w:val="aff6"/>
              <w:numPr>
                <w:ilvl w:val="3"/>
                <w:numId w:val="39"/>
              </w:numPr>
              <w:spacing w:after="120" w:line="240" w:lineRule="auto"/>
              <w:ind w:firstLineChars="0"/>
              <w:jc w:val="left"/>
              <w:rPr>
                <w:szCs w:val="24"/>
                <w:lang w:eastAsia="zh-CN"/>
              </w:rPr>
            </w:pPr>
            <w:r w:rsidRPr="00437A43">
              <w:rPr>
                <w:szCs w:val="24"/>
                <w:lang w:eastAsia="zh-CN"/>
              </w:rPr>
              <w:t>1.1</w:t>
            </w:r>
            <w:r w:rsidRPr="00437A43">
              <w:rPr>
                <w:rFonts w:hint="eastAsia"/>
                <w:szCs w:val="24"/>
                <w:lang w:eastAsia="zh-CN"/>
              </w:rPr>
              <w:t>dB (</w:t>
            </w:r>
            <w:r w:rsidRPr="00437A43">
              <w:rPr>
                <w:szCs w:val="24"/>
                <w:lang w:eastAsia="zh-CN"/>
              </w:rPr>
              <w:t>Qualcomm</w:t>
            </w:r>
            <w:r w:rsidRPr="00437A43">
              <w:rPr>
                <w:rFonts w:hint="eastAsia"/>
                <w:szCs w:val="24"/>
                <w:lang w:eastAsia="zh-CN"/>
              </w:rPr>
              <w:t>)</w:t>
            </w:r>
          </w:p>
          <w:p w14:paraId="371BA8D7" w14:textId="77777777" w:rsidR="00020D87" w:rsidRPr="00437A43" w:rsidRDefault="00020D87" w:rsidP="00020D87">
            <w:pPr>
              <w:pStyle w:val="aff6"/>
              <w:numPr>
                <w:ilvl w:val="2"/>
                <w:numId w:val="39"/>
              </w:numPr>
              <w:spacing w:after="120" w:line="240" w:lineRule="auto"/>
              <w:ind w:firstLineChars="0"/>
              <w:jc w:val="left"/>
              <w:rPr>
                <w:szCs w:val="24"/>
                <w:lang w:eastAsia="zh-CN"/>
              </w:rPr>
            </w:pPr>
            <w:r w:rsidRPr="00437A43">
              <w:rPr>
                <w:rFonts w:hint="eastAsia"/>
                <w:szCs w:val="24"/>
                <w:lang w:eastAsia="zh-CN"/>
              </w:rPr>
              <w:t xml:space="preserve">255: </w:t>
            </w:r>
          </w:p>
          <w:p w14:paraId="3B28FF1F" w14:textId="77777777" w:rsidR="00020D87" w:rsidRPr="00437A43" w:rsidRDefault="00020D87" w:rsidP="00020D87">
            <w:pPr>
              <w:pStyle w:val="aff6"/>
              <w:numPr>
                <w:ilvl w:val="3"/>
                <w:numId w:val="39"/>
              </w:numPr>
              <w:spacing w:after="120" w:line="240" w:lineRule="auto"/>
              <w:ind w:firstLineChars="0"/>
              <w:jc w:val="left"/>
              <w:rPr>
                <w:szCs w:val="24"/>
                <w:lang w:eastAsia="zh-CN"/>
              </w:rPr>
            </w:pPr>
            <w:r w:rsidRPr="00437A43">
              <w:rPr>
                <w:szCs w:val="24"/>
                <w:lang w:eastAsia="zh-CN"/>
              </w:rPr>
              <w:t xml:space="preserve">0.8dB </w:t>
            </w:r>
            <w:r w:rsidRPr="00437A43">
              <w:rPr>
                <w:rFonts w:hint="eastAsia"/>
                <w:szCs w:val="24"/>
                <w:lang w:eastAsia="zh-CN"/>
              </w:rPr>
              <w:t>(</w:t>
            </w:r>
            <w:r w:rsidRPr="00437A43">
              <w:rPr>
                <w:szCs w:val="24"/>
                <w:lang w:eastAsia="zh-CN"/>
              </w:rPr>
              <w:t>MTK</w:t>
            </w:r>
            <w:r w:rsidRPr="00437A43">
              <w:rPr>
                <w:rFonts w:hint="eastAsia"/>
                <w:szCs w:val="24"/>
                <w:lang w:eastAsia="zh-CN"/>
              </w:rPr>
              <w:t>)</w:t>
            </w:r>
          </w:p>
          <w:p w14:paraId="2ED018E3" w14:textId="77777777" w:rsidR="00020D87" w:rsidRPr="00437A43" w:rsidRDefault="00020D87" w:rsidP="00020D87">
            <w:pPr>
              <w:pStyle w:val="aff6"/>
              <w:numPr>
                <w:ilvl w:val="3"/>
                <w:numId w:val="39"/>
              </w:numPr>
              <w:spacing w:after="120" w:line="240" w:lineRule="auto"/>
              <w:ind w:firstLineChars="0"/>
              <w:jc w:val="left"/>
              <w:rPr>
                <w:szCs w:val="24"/>
                <w:lang w:eastAsia="zh-CN"/>
              </w:rPr>
            </w:pPr>
            <w:r w:rsidRPr="00437A43">
              <w:rPr>
                <w:rFonts w:hint="eastAsia"/>
                <w:szCs w:val="24"/>
                <w:lang w:eastAsia="zh-CN"/>
              </w:rPr>
              <w:t>1</w:t>
            </w:r>
            <w:r w:rsidRPr="00437A43">
              <w:rPr>
                <w:szCs w:val="24"/>
                <w:lang w:eastAsia="zh-CN"/>
              </w:rPr>
              <w:t>.2dB (Qualcomm)</w:t>
            </w:r>
          </w:p>
          <w:p w14:paraId="00578107" w14:textId="77777777" w:rsidR="00020D87" w:rsidRPr="00437A43" w:rsidRDefault="00020D87" w:rsidP="00020D87">
            <w:pPr>
              <w:pStyle w:val="aff6"/>
              <w:numPr>
                <w:ilvl w:val="1"/>
                <w:numId w:val="39"/>
              </w:numPr>
              <w:spacing w:after="120" w:line="240" w:lineRule="auto"/>
              <w:ind w:firstLineChars="0"/>
              <w:jc w:val="left"/>
              <w:rPr>
                <w:szCs w:val="24"/>
                <w:lang w:eastAsia="zh-CN"/>
              </w:rPr>
            </w:pPr>
            <w:r w:rsidRPr="00437A43">
              <w:rPr>
                <w:szCs w:val="24"/>
                <w:lang w:eastAsia="zh-CN"/>
              </w:rPr>
              <w:t>No differentiation</w:t>
            </w:r>
            <w:r w:rsidRPr="00437A43">
              <w:rPr>
                <w:rFonts w:hint="eastAsia"/>
                <w:szCs w:val="24"/>
                <w:lang w:eastAsia="zh-CN"/>
              </w:rPr>
              <w:t xml:space="preserve"> of handheld and non-handheld for RSD</w:t>
            </w:r>
          </w:p>
          <w:p w14:paraId="37FDA4BD" w14:textId="77777777" w:rsidR="00020D87" w:rsidRPr="00437A43" w:rsidRDefault="00020D87" w:rsidP="00020D87">
            <w:pPr>
              <w:pStyle w:val="aff6"/>
              <w:numPr>
                <w:ilvl w:val="0"/>
                <w:numId w:val="39"/>
              </w:numPr>
              <w:spacing w:after="120" w:line="240" w:lineRule="auto"/>
              <w:ind w:firstLineChars="0"/>
              <w:jc w:val="left"/>
              <w:rPr>
                <w:szCs w:val="24"/>
                <w:lang w:eastAsia="zh-CN"/>
              </w:rPr>
            </w:pPr>
            <w:r w:rsidRPr="00437A43">
              <w:rPr>
                <w:szCs w:val="24"/>
                <w:lang w:eastAsia="zh-CN"/>
              </w:rPr>
              <w:t>WF (Ad-hoc agreement):</w:t>
            </w:r>
          </w:p>
          <w:p w14:paraId="18A5AD2C" w14:textId="77777777" w:rsidR="00020D87" w:rsidRPr="00437A43" w:rsidRDefault="00020D87" w:rsidP="00020D87">
            <w:pPr>
              <w:pStyle w:val="aff6"/>
              <w:numPr>
                <w:ilvl w:val="1"/>
                <w:numId w:val="39"/>
              </w:numPr>
              <w:spacing w:after="120" w:line="240" w:lineRule="auto"/>
              <w:ind w:firstLineChars="0"/>
              <w:jc w:val="left"/>
              <w:rPr>
                <w:szCs w:val="24"/>
                <w:lang w:eastAsia="zh-CN"/>
              </w:rPr>
            </w:pPr>
            <w:r w:rsidRPr="00437A43">
              <w:rPr>
                <w:szCs w:val="24"/>
                <w:lang w:eastAsia="zh-CN"/>
              </w:rPr>
              <w:t>Reference sensitivity values</w:t>
            </w:r>
          </w:p>
          <w:p w14:paraId="26F12FED" w14:textId="77777777" w:rsidR="00020D87" w:rsidRPr="00437A43" w:rsidRDefault="00020D87" w:rsidP="00020D87">
            <w:pPr>
              <w:pStyle w:val="aff6"/>
              <w:numPr>
                <w:ilvl w:val="2"/>
                <w:numId w:val="39"/>
              </w:numPr>
              <w:spacing w:after="120" w:line="240" w:lineRule="auto"/>
              <w:ind w:firstLineChars="0"/>
              <w:jc w:val="left"/>
              <w:rPr>
                <w:szCs w:val="24"/>
                <w:lang w:eastAsia="zh-CN"/>
              </w:rPr>
            </w:pPr>
            <w:r w:rsidRPr="00437A43">
              <w:rPr>
                <w:rFonts w:hint="eastAsia"/>
                <w:szCs w:val="24"/>
                <w:lang w:eastAsia="zh-CN"/>
              </w:rPr>
              <w:t>2</w:t>
            </w:r>
            <w:r w:rsidRPr="00437A43">
              <w:rPr>
                <w:szCs w:val="24"/>
                <w:lang w:eastAsia="zh-CN"/>
              </w:rPr>
              <w:t>56: [0.5] dB</w:t>
            </w:r>
          </w:p>
          <w:p w14:paraId="01401D17" w14:textId="7D7546F9" w:rsidR="00020D87" w:rsidRPr="00020D87" w:rsidRDefault="00020D87" w:rsidP="009D27F8">
            <w:pPr>
              <w:pStyle w:val="aff6"/>
              <w:numPr>
                <w:ilvl w:val="2"/>
                <w:numId w:val="39"/>
              </w:numPr>
              <w:spacing w:after="120" w:line="240" w:lineRule="auto"/>
              <w:ind w:firstLineChars="0"/>
              <w:jc w:val="left"/>
              <w:rPr>
                <w:szCs w:val="24"/>
                <w:lang w:eastAsia="zh-CN"/>
              </w:rPr>
            </w:pPr>
            <w:r w:rsidRPr="00437A43">
              <w:rPr>
                <w:szCs w:val="24"/>
                <w:lang w:eastAsia="zh-CN"/>
              </w:rPr>
              <w:t>255: 1 dB</w:t>
            </w:r>
          </w:p>
        </w:tc>
      </w:tr>
    </w:tbl>
    <w:p w14:paraId="195945F7" w14:textId="6E2C7175" w:rsidR="00F46AA3" w:rsidRDefault="00F46AA3" w:rsidP="009D27F8">
      <w:pPr>
        <w:rPr>
          <w:b/>
          <w:bCs/>
          <w:lang w:val="sv-SE" w:eastAsia="zh-CN"/>
        </w:rPr>
      </w:pPr>
    </w:p>
    <w:p w14:paraId="3A097975" w14:textId="2BD398BD" w:rsidR="00B54E52" w:rsidRDefault="00B54E52" w:rsidP="009D27F8">
      <w:pPr>
        <w:rPr>
          <w:lang w:val="sv-SE" w:eastAsia="zh-CN"/>
        </w:rPr>
      </w:pPr>
      <w:r w:rsidRPr="00B54E52">
        <w:rPr>
          <w:rFonts w:hint="eastAsia"/>
          <w:lang w:val="sv-SE" w:eastAsia="zh-CN"/>
        </w:rPr>
        <w:lastRenderedPageBreak/>
        <w:t>F</w:t>
      </w:r>
      <w:r w:rsidRPr="00B54E52">
        <w:rPr>
          <w:lang w:val="sv-SE" w:eastAsia="zh-CN"/>
        </w:rPr>
        <w:t>or the PC2 1Tx RSD (full duplex eMTC based) calculation, we assumed 4dB FE loss, 54dB Rx IIP2</w:t>
      </w:r>
      <w:r>
        <w:rPr>
          <w:lang w:val="sv-SE" w:eastAsia="zh-CN"/>
        </w:rPr>
        <w:t xml:space="preserve"> and 55dB T</w:t>
      </w:r>
      <w:r>
        <w:rPr>
          <w:rFonts w:hint="eastAsia"/>
          <w:lang w:val="sv-SE" w:eastAsia="zh-CN"/>
        </w:rPr>
        <w:t>x</w:t>
      </w:r>
      <w:r>
        <w:rPr>
          <w:lang w:val="sv-SE" w:eastAsia="zh-CN"/>
        </w:rPr>
        <w:t xml:space="preserve"> isolation. The RSD from PC3 to PC2 will be 1.2dB. </w:t>
      </w:r>
    </w:p>
    <w:p w14:paraId="6F974254" w14:textId="3CCBBF7D" w:rsidR="00B54E52" w:rsidRDefault="00B54E52" w:rsidP="009D27F8">
      <w:pPr>
        <w:rPr>
          <w:b/>
          <w:lang w:eastAsia="zh-CN"/>
        </w:rPr>
      </w:pPr>
      <w:r w:rsidRPr="00B54E52">
        <w:rPr>
          <w:rFonts w:hint="eastAsia"/>
          <w:b/>
          <w:bCs/>
          <w:lang w:val="sv-SE" w:eastAsia="zh-CN"/>
        </w:rPr>
        <w:t>Proposal</w:t>
      </w:r>
      <w:r w:rsidRPr="00B54E52">
        <w:rPr>
          <w:b/>
          <w:bCs/>
          <w:lang w:val="sv-SE" w:eastAsia="zh-CN"/>
        </w:rPr>
        <w:t xml:space="preserve"> 3</w:t>
      </w:r>
      <w:r>
        <w:rPr>
          <w:rFonts w:hint="eastAsia"/>
          <w:b/>
          <w:bCs/>
          <w:lang w:val="sv-SE" w:eastAsia="zh-CN"/>
        </w:rPr>
        <w:t>:</w:t>
      </w:r>
      <w:r>
        <w:rPr>
          <w:b/>
          <w:bCs/>
          <w:lang w:val="sv-SE" w:eastAsia="zh-CN"/>
        </w:rPr>
        <w:t xml:space="preserve"> </w:t>
      </w:r>
      <w:r w:rsidR="00F14CE7">
        <w:rPr>
          <w:b/>
          <w:bCs/>
          <w:lang w:val="sv-SE" w:eastAsia="zh-CN"/>
        </w:rPr>
        <w:t>A</w:t>
      </w:r>
      <w:r>
        <w:rPr>
          <w:b/>
          <w:bCs/>
          <w:lang w:val="sv-SE" w:eastAsia="zh-CN"/>
        </w:rPr>
        <w:t xml:space="preserve">pply 1.2dB RSD for band 256 for PC2 1Tx RSD for the </w:t>
      </w:r>
      <w:r w:rsidRPr="00B54E52">
        <w:rPr>
          <w:b/>
          <w:lang w:eastAsia="zh-CN"/>
        </w:rPr>
        <w:t>full duplex eMTC based</w:t>
      </w:r>
      <w:r>
        <w:rPr>
          <w:b/>
          <w:lang w:eastAsia="zh-CN"/>
        </w:rPr>
        <w:t xml:space="preserve"> IoT-NTN UE.</w:t>
      </w:r>
    </w:p>
    <w:p w14:paraId="504087F3" w14:textId="792845D7" w:rsidR="00B54E52" w:rsidRPr="00F14CE7" w:rsidRDefault="00B54E52" w:rsidP="009D27F8">
      <w:pPr>
        <w:rPr>
          <w:b/>
          <w:bCs/>
          <w:lang w:eastAsia="zh-CN"/>
        </w:rPr>
      </w:pPr>
    </w:p>
    <w:p w14:paraId="355A4AC1" w14:textId="4E929DE3" w:rsidR="009D27F8" w:rsidRDefault="00F46AA3" w:rsidP="009D27F8">
      <w:pPr>
        <w:rPr>
          <w:b/>
          <w:bCs/>
          <w:lang w:eastAsia="zh-CN"/>
        </w:rPr>
      </w:pPr>
      <w:r w:rsidRPr="00F46AA3">
        <w:rPr>
          <w:b/>
          <w:bCs/>
          <w:lang w:eastAsia="zh-CN"/>
        </w:rPr>
        <w:t>SAR Related issues</w:t>
      </w:r>
    </w:p>
    <w:tbl>
      <w:tblPr>
        <w:tblStyle w:val="afd"/>
        <w:tblW w:w="0" w:type="auto"/>
        <w:tblLook w:val="04A0" w:firstRow="1" w:lastRow="0" w:firstColumn="1" w:lastColumn="0" w:noHBand="0" w:noVBand="1"/>
      </w:tblPr>
      <w:tblGrid>
        <w:gridCol w:w="9631"/>
      </w:tblGrid>
      <w:tr w:rsidR="00F46AA3" w14:paraId="1A7F9FB5" w14:textId="77777777" w:rsidTr="00F46AA3">
        <w:tc>
          <w:tcPr>
            <w:tcW w:w="9631" w:type="dxa"/>
          </w:tcPr>
          <w:p w14:paraId="7831FDAA" w14:textId="77777777" w:rsidR="00E713C0" w:rsidRPr="00437A43" w:rsidRDefault="00E713C0" w:rsidP="00E713C0">
            <w:pPr>
              <w:rPr>
                <w:b/>
                <w:u w:val="single"/>
                <w:lang w:eastAsia="ko-KR"/>
              </w:rPr>
            </w:pPr>
            <w:r w:rsidRPr="00437A43">
              <w:rPr>
                <w:b/>
                <w:u w:val="single"/>
                <w:lang w:eastAsia="ko-KR"/>
              </w:rPr>
              <w:t xml:space="preserve">Issue </w:t>
            </w:r>
            <w:r w:rsidRPr="00437A43">
              <w:rPr>
                <w:rFonts w:hint="eastAsia"/>
                <w:b/>
                <w:u w:val="single"/>
                <w:lang w:eastAsia="zh-CN"/>
              </w:rPr>
              <w:t>2</w:t>
            </w:r>
            <w:r w:rsidRPr="00437A43">
              <w:rPr>
                <w:b/>
                <w:u w:val="single"/>
                <w:lang w:eastAsia="ko-KR"/>
              </w:rPr>
              <w:t>-1</w:t>
            </w:r>
            <w:r w:rsidRPr="00437A43">
              <w:rPr>
                <w:rFonts w:hint="eastAsia"/>
                <w:b/>
                <w:u w:val="single"/>
                <w:lang w:eastAsia="zh-CN"/>
              </w:rPr>
              <w:t>-</w:t>
            </w:r>
            <w:r w:rsidRPr="00437A43">
              <w:rPr>
                <w:b/>
                <w:u w:val="single"/>
                <w:lang w:eastAsia="zh-CN"/>
              </w:rPr>
              <w:t>2</w:t>
            </w:r>
            <w:r w:rsidRPr="00437A43">
              <w:rPr>
                <w:b/>
                <w:u w:val="single"/>
                <w:lang w:eastAsia="ko-KR"/>
              </w:rPr>
              <w:t>:</w:t>
            </w:r>
            <w:r w:rsidRPr="00437A43">
              <w:rPr>
                <w:rFonts w:hint="eastAsia"/>
                <w:b/>
                <w:u w:val="single"/>
                <w:lang w:eastAsia="zh-CN"/>
              </w:rPr>
              <w:t xml:space="preserve"> </w:t>
            </w:r>
            <w:r w:rsidRPr="00437A43">
              <w:rPr>
                <w:b/>
                <w:u w:val="single"/>
                <w:lang w:eastAsia="zh-CN"/>
              </w:rPr>
              <w:t>Whether and how to introduce duty cycle related method.</w:t>
            </w:r>
          </w:p>
          <w:p w14:paraId="30DD4D88" w14:textId="77777777" w:rsidR="00E713C0" w:rsidRPr="00437A43" w:rsidRDefault="00E713C0" w:rsidP="00E713C0">
            <w:pPr>
              <w:pStyle w:val="aff6"/>
              <w:numPr>
                <w:ilvl w:val="0"/>
                <w:numId w:val="15"/>
              </w:numPr>
              <w:overflowPunct/>
              <w:autoSpaceDE/>
              <w:autoSpaceDN/>
              <w:adjustRightInd/>
              <w:spacing w:after="120" w:line="240" w:lineRule="auto"/>
              <w:ind w:left="720" w:firstLineChars="0"/>
              <w:jc w:val="left"/>
              <w:textAlignment w:val="auto"/>
              <w:rPr>
                <w:rFonts w:eastAsia="宋体"/>
                <w:szCs w:val="24"/>
                <w:lang w:eastAsia="zh-CN"/>
              </w:rPr>
            </w:pPr>
            <w:r w:rsidRPr="00437A43">
              <w:rPr>
                <w:rFonts w:eastAsia="宋体"/>
                <w:szCs w:val="24"/>
                <w:lang w:eastAsia="zh-CN"/>
              </w:rPr>
              <w:t>Proposals (Not necessarily mutually exclusive):</w:t>
            </w:r>
          </w:p>
          <w:p w14:paraId="34F42E1A"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Scheme 1: (vivo)</w:t>
            </w:r>
          </w:p>
          <w:p w14:paraId="1699712B"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lang w:eastAsia="zh-CN"/>
              </w:rPr>
            </w:pPr>
            <w:r w:rsidRPr="00437A43">
              <w:rPr>
                <w:rFonts w:eastAsia="宋体"/>
                <w:lang w:eastAsia="zh-CN"/>
              </w:rPr>
              <w:t>Consider to introduce a scheme that UE voluntarily dropping uplink transmissions by self-assessment to control the SAR. This may be simple enough, can be controlled by network and still useful.</w:t>
            </w:r>
          </w:p>
          <w:p w14:paraId="17972A4F"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Scheme 2: (oppo)</w:t>
            </w:r>
          </w:p>
          <w:p w14:paraId="1D3EC835"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Theme="minorEastAsia"/>
                <w:bCs/>
                <w:lang w:eastAsia="zh-CN"/>
              </w:rPr>
            </w:pPr>
            <w:r w:rsidRPr="00437A43">
              <w:rPr>
                <w:rFonts w:eastAsia="等线"/>
                <w:bCs/>
                <w:lang w:val="en-US" w:eastAsia="zh-CN"/>
              </w:rPr>
              <w:t xml:space="preserve">UE indicate whether the following Tx time duration should be counted into the UL duty cycle statistics in addition to current </w:t>
            </w:r>
            <w:r w:rsidRPr="00437A43">
              <w:rPr>
                <w:rFonts w:eastAsiaTheme="minorEastAsia"/>
                <w:bCs/>
                <w:i/>
                <w:lang w:eastAsia="zh-CN"/>
              </w:rPr>
              <w:t>maxUplinkdutycycle</w:t>
            </w:r>
            <w:r w:rsidRPr="00437A43">
              <w:rPr>
                <w:rFonts w:eastAsiaTheme="minorEastAsia"/>
                <w:bCs/>
                <w:lang w:eastAsia="zh-CN"/>
              </w:rPr>
              <w:t xml:space="preserve"> capability. How the information is reported is up to RAN2.</w:t>
            </w:r>
          </w:p>
          <w:p w14:paraId="0C9352E1"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Scheme 3: (Samsung)</w:t>
            </w:r>
          </w:p>
          <w:p w14:paraId="0ADF2901" w14:textId="77777777" w:rsidR="00E713C0" w:rsidRPr="00437A43" w:rsidRDefault="00E713C0" w:rsidP="00E713C0">
            <w:pPr>
              <w:pStyle w:val="aff6"/>
              <w:overflowPunct/>
              <w:autoSpaceDE/>
              <w:autoSpaceDN/>
              <w:adjustRightInd/>
              <w:spacing w:after="120"/>
              <w:ind w:leftChars="820" w:left="1640" w:firstLineChars="0" w:firstLine="0"/>
              <w:textAlignment w:val="auto"/>
              <w:rPr>
                <w:lang w:val="sv-SE" w:eastAsia="zh-CN"/>
              </w:rPr>
            </w:pPr>
            <w:r w:rsidRPr="00437A43">
              <w:rPr>
                <w:lang w:val="sv-SE" w:eastAsia="zh-CN"/>
              </w:rPr>
              <w:t xml:space="preserve">Observation 3-1: Legacy dutycycle method does not fit the purpose of keeping as much power as possible for NTN scenario, as legacy solution requires UE to fall back 3/6 dBs, which is the power of entire power class. </w:t>
            </w:r>
          </w:p>
          <w:p w14:paraId="2E34C5BC" w14:textId="77777777" w:rsidR="00E713C0" w:rsidRPr="00437A43" w:rsidRDefault="00E713C0" w:rsidP="00E713C0">
            <w:pPr>
              <w:pStyle w:val="aff6"/>
              <w:overflowPunct/>
              <w:autoSpaceDE/>
              <w:autoSpaceDN/>
              <w:adjustRightInd/>
              <w:spacing w:after="120"/>
              <w:ind w:leftChars="820" w:left="1640" w:firstLineChars="0" w:firstLine="0"/>
              <w:textAlignment w:val="auto"/>
              <w:rPr>
                <w:lang w:val="sv-SE" w:eastAsia="zh-CN"/>
              </w:rPr>
            </w:pPr>
            <w:r w:rsidRPr="00437A43">
              <w:rPr>
                <w:lang w:val="sv-SE" w:eastAsia="zh-CN"/>
              </w:rPr>
              <w:t>Observation 3-2: In Rel-19, NTN would not introduce any beam service ratio in time domain in NTN phase3 WI in parallel.</w:t>
            </w:r>
          </w:p>
          <w:p w14:paraId="399283E1" w14:textId="77777777" w:rsidR="00E713C0" w:rsidRPr="00437A43" w:rsidRDefault="00E713C0" w:rsidP="00E713C0">
            <w:pPr>
              <w:pStyle w:val="aff6"/>
              <w:overflowPunct/>
              <w:autoSpaceDE/>
              <w:autoSpaceDN/>
              <w:adjustRightInd/>
              <w:spacing w:after="120"/>
              <w:ind w:leftChars="820" w:left="1640" w:firstLineChars="0" w:firstLine="0"/>
              <w:textAlignment w:val="auto"/>
              <w:rPr>
                <w:lang w:val="sv-SE" w:eastAsia="zh-CN"/>
              </w:rPr>
            </w:pPr>
            <w:r w:rsidRPr="00437A43">
              <w:rPr>
                <w:lang w:val="sv-SE" w:eastAsia="zh-CN"/>
              </w:rPr>
              <w:t>Observation 4-1: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44DA2CA0" w14:textId="77777777" w:rsidR="00E713C0" w:rsidRPr="00437A43" w:rsidRDefault="00E713C0" w:rsidP="00E713C0">
            <w:pPr>
              <w:pStyle w:val="aff6"/>
              <w:overflowPunct/>
              <w:autoSpaceDE/>
              <w:autoSpaceDN/>
              <w:adjustRightInd/>
              <w:spacing w:after="120"/>
              <w:ind w:leftChars="820" w:left="1640" w:firstLineChars="0" w:firstLine="0"/>
              <w:textAlignment w:val="auto"/>
              <w:rPr>
                <w:lang w:val="sv-SE" w:eastAsia="zh-CN"/>
              </w:rPr>
            </w:pPr>
            <w:r w:rsidRPr="00437A43">
              <w:rPr>
                <w:lang w:val="sv-SE" w:eastAsia="zh-CN"/>
              </w:rPr>
              <w:t>Observation 4-2: To let UE go into a Tx UL Gap also faces same challenges as above.</w:t>
            </w:r>
          </w:p>
          <w:p w14:paraId="00EEC075" w14:textId="77777777" w:rsidR="00E713C0" w:rsidRPr="00437A43" w:rsidRDefault="00E713C0" w:rsidP="00E713C0">
            <w:pPr>
              <w:pStyle w:val="aff6"/>
              <w:overflowPunct/>
              <w:autoSpaceDE/>
              <w:autoSpaceDN/>
              <w:adjustRightInd/>
              <w:spacing w:after="120"/>
              <w:ind w:leftChars="820" w:left="1640" w:firstLineChars="0" w:firstLine="0"/>
              <w:textAlignment w:val="auto"/>
              <w:rPr>
                <w:lang w:val="sv-SE" w:eastAsia="zh-CN"/>
              </w:rPr>
            </w:pPr>
            <w:bookmarkStart w:id="1" w:name="_Hlk197519570"/>
            <w:r w:rsidRPr="00437A43">
              <w:rPr>
                <w:lang w:val="sv-SE" w:eastAsia="zh-CN"/>
              </w:rPr>
              <w:t>Proposal 4: To not define any duty cycle based SAR solution, and to use the baseline P-MPR method</w:t>
            </w:r>
            <w:bookmarkEnd w:id="1"/>
            <w:r w:rsidRPr="00437A43">
              <w:rPr>
                <w:lang w:val="sv-SE" w:eastAsia="zh-CN"/>
              </w:rPr>
              <w:t>, considering following:</w:t>
            </w:r>
            <w:r w:rsidRPr="00437A43">
              <w:rPr>
                <w:rFonts w:hint="eastAsia"/>
                <w:lang w:val="sv-SE" w:eastAsia="zh-CN"/>
              </w:rPr>
              <w:t xml:space="preserve"> </w:t>
            </w:r>
          </w:p>
          <w:p w14:paraId="625A032C" w14:textId="77777777" w:rsidR="00E713C0" w:rsidRPr="00437A43" w:rsidRDefault="00E713C0" w:rsidP="00E713C0">
            <w:pPr>
              <w:pStyle w:val="aff6"/>
              <w:overflowPunct/>
              <w:autoSpaceDE/>
              <w:autoSpaceDN/>
              <w:adjustRightInd/>
              <w:spacing w:after="120"/>
              <w:ind w:leftChars="920" w:left="1840" w:firstLineChars="0" w:firstLine="0"/>
              <w:textAlignment w:val="auto"/>
              <w:rPr>
                <w:lang w:val="sv-SE" w:eastAsia="zh-CN"/>
              </w:rPr>
            </w:pPr>
            <w:r w:rsidRPr="00437A43">
              <w:rPr>
                <w:lang w:val="sv-SE" w:eastAsia="zh-CN"/>
              </w:rPr>
              <w:t xml:space="preserve">1) P-MPR had been working well and leave space for implementation; </w:t>
            </w:r>
          </w:p>
          <w:p w14:paraId="32389171" w14:textId="77777777" w:rsidR="00E713C0" w:rsidRPr="00437A43" w:rsidRDefault="00E713C0" w:rsidP="00E713C0">
            <w:pPr>
              <w:pStyle w:val="aff6"/>
              <w:overflowPunct/>
              <w:autoSpaceDE/>
              <w:autoSpaceDN/>
              <w:adjustRightInd/>
              <w:spacing w:after="120"/>
              <w:ind w:leftChars="920" w:left="1840" w:firstLineChars="0" w:firstLine="0"/>
              <w:textAlignment w:val="auto"/>
              <w:rPr>
                <w:lang w:val="sv-SE" w:eastAsia="zh-CN"/>
              </w:rPr>
            </w:pPr>
            <w:r w:rsidRPr="00437A43">
              <w:rPr>
                <w:lang w:val="sv-SE" w:eastAsia="zh-CN"/>
              </w:rPr>
              <w:t xml:space="preserve">2) without uplink duty ratio from NW side, current solutions on the table (including legacy tdd duty cycle solution) cannot be optimized and clear enough for UE implementation; </w:t>
            </w:r>
          </w:p>
          <w:p w14:paraId="3F3074EB" w14:textId="77777777" w:rsidR="00E713C0" w:rsidRPr="00437A43" w:rsidRDefault="00E713C0" w:rsidP="00E713C0">
            <w:pPr>
              <w:pStyle w:val="aff6"/>
              <w:overflowPunct/>
              <w:autoSpaceDE/>
              <w:autoSpaceDN/>
              <w:adjustRightInd/>
              <w:spacing w:after="120"/>
              <w:ind w:leftChars="920" w:left="1840" w:firstLineChars="0" w:firstLine="0"/>
              <w:textAlignment w:val="auto"/>
              <w:rPr>
                <w:lang w:val="sv-SE" w:eastAsia="zh-CN"/>
              </w:rPr>
            </w:pPr>
            <w:r w:rsidRPr="00437A43">
              <w:rPr>
                <w:lang w:val="sv-SE" w:eastAsia="zh-CN"/>
              </w:rPr>
              <w:t>3) There are many non-3GPP technologies already implemented in actual SAR compliance, and it helped to maintain power level well enough.</w:t>
            </w:r>
          </w:p>
          <w:p w14:paraId="41021F2E"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Scheme 4: (Qualcomm)</w:t>
            </w:r>
          </w:p>
          <w:p w14:paraId="09731051"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 xml:space="preserve"> A new UE triggered report is specified to report energy headroom to the network in form of “UE can transmit at maximum transmit power for X seconds out of next Y seconds.”</w:t>
            </w:r>
          </w:p>
          <w:p w14:paraId="1E45966B"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For X and Y, consider value range from 100ms to 5s with 100ms granularity.</w:t>
            </w:r>
          </w:p>
          <w:p w14:paraId="6EA85A0A"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Starting time for the indicated values is the transmission time of the report.</w:t>
            </w:r>
          </w:p>
          <w:p w14:paraId="4B93234C"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Send an LS to RAN2 to specify energy headroom reporting.</w:t>
            </w:r>
          </w:p>
          <w:p w14:paraId="66BE0993"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Allow but do not mandate UE to reduce it’s maximum output power when Tx duty cycle exceeds 50% in a radio frame for PC2 and 2Tx PC1.5. Capture this allowance into specification.</w:t>
            </w:r>
          </w:p>
          <w:p w14:paraId="23824CFB" w14:textId="77777777" w:rsidR="00E713C0" w:rsidRPr="00437A43" w:rsidRDefault="00E713C0" w:rsidP="00E713C0">
            <w:pPr>
              <w:pStyle w:val="aff6"/>
              <w:numPr>
                <w:ilvl w:val="4"/>
                <w:numId w:val="40"/>
              </w:numPr>
              <w:spacing w:after="120" w:line="240" w:lineRule="auto"/>
              <w:ind w:firstLineChars="0"/>
              <w:jc w:val="left"/>
              <w:rPr>
                <w:lang w:val="sv-SE" w:eastAsia="zh-CN"/>
              </w:rPr>
            </w:pPr>
            <w:r w:rsidRPr="00437A43">
              <w:rPr>
                <w:lang w:val="sv-SE" w:eastAsia="zh-CN"/>
              </w:rPr>
              <w:t>Further evaluate potential specification impact from filter power handling for PC1.</w:t>
            </w:r>
          </w:p>
          <w:p w14:paraId="58D00755"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Scheme 5: (Ericsson, Sony, Nokia)</w:t>
            </w:r>
          </w:p>
          <w:p w14:paraId="3FB63307"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lastRenderedPageBreak/>
              <w:t xml:space="preserve">Observation 1: “Duty-cycle” based method is not well designed for FDD bands and is allegedly not used in the field. P-MPR method is used instead, which is on another hand “blind” for the network. </w:t>
            </w:r>
          </w:p>
          <w:p w14:paraId="4BD063A4"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Observation 2: “Duty-cycle” based and the P-MPR based methods in combination with reporting of the actual power-capability state of a UE could be considered for NTN HPUEs, similar to Rel-18 enhancements introduced for TN.</w:t>
            </w:r>
          </w:p>
          <w:p w14:paraId="148B6B17"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Proposal 1: Both P-MPR and “duty-cycle” based method could be considered, but only if the “duty-cycle” based method is mandatorily accompanied with the ΔPPowerClass reporting, triggered upon uplink duty cycle exceedance or upon return to the power class after the duty cycle exceedance (already introduced in Rel-18 for TN). The same reporting mechanism shall also include the reporting of the actual P-MPR value. </w:t>
            </w:r>
          </w:p>
          <w:p w14:paraId="43980308"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Proposal 2: If both the TN “duty-cycle” based method and the P-MPR method accompanied with the ΔPPowerClass reporting are considered for NTN UEs, “Single Entry PHR MAC CE” could be reused with the following reporting details: (Ericsson, Sony)</w:t>
            </w:r>
          </w:p>
          <w:p w14:paraId="39B93428" w14:textId="77777777" w:rsidR="00E713C0" w:rsidRPr="00437A43" w:rsidRDefault="00E713C0" w:rsidP="00E713C0">
            <w:pPr>
              <w:pStyle w:val="aff6"/>
              <w:numPr>
                <w:ilvl w:val="2"/>
                <w:numId w:val="15"/>
              </w:numPr>
              <w:spacing w:after="120" w:line="240" w:lineRule="auto"/>
              <w:ind w:leftChars="1108" w:left="2576" w:firstLineChars="0" w:hanging="360"/>
              <w:jc w:val="left"/>
              <w:rPr>
                <w:rFonts w:eastAsia="宋体"/>
              </w:rPr>
            </w:pPr>
            <w:r w:rsidRPr="00437A43">
              <w:rPr>
                <w:rFonts w:eastAsia="宋体"/>
              </w:rPr>
              <w:t>If the P-bit is set to ‘0’, power-class fallback reporting is used due to e.g. a duty cycle exceedance:</w:t>
            </w:r>
          </w:p>
          <w:p w14:paraId="1112ABBD"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‘00’: </w:t>
            </w:r>
            <w:r w:rsidRPr="00437A43">
              <w:t>the criteria to report DPC is not met</w:t>
            </w:r>
          </w:p>
          <w:p w14:paraId="145336E6"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‘01’: </w:t>
            </w:r>
            <w:r w:rsidRPr="00437A43">
              <w:t>ΔP</w:t>
            </w:r>
            <w:r w:rsidRPr="00437A43">
              <w:rPr>
                <w:vertAlign w:val="subscript"/>
              </w:rPr>
              <w:t>PowerClass</w:t>
            </w:r>
            <w:r w:rsidRPr="00437A43">
              <w:t xml:space="preserve"> = 0 dB</w:t>
            </w:r>
          </w:p>
          <w:p w14:paraId="576DC2BC"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‘10’: </w:t>
            </w:r>
            <w:r w:rsidRPr="00437A43">
              <w:t>ΔP</w:t>
            </w:r>
            <w:r w:rsidRPr="00437A43">
              <w:rPr>
                <w:vertAlign w:val="subscript"/>
              </w:rPr>
              <w:t>PowerClass</w:t>
            </w:r>
            <w:r w:rsidRPr="00437A43">
              <w:t xml:space="preserve"> = 3 dB</w:t>
            </w:r>
          </w:p>
          <w:p w14:paraId="28D49471"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‘11’: </w:t>
            </w:r>
            <w:r w:rsidRPr="00437A43">
              <w:t>ΔP</w:t>
            </w:r>
            <w:r w:rsidRPr="00437A43">
              <w:rPr>
                <w:vertAlign w:val="subscript"/>
              </w:rPr>
              <w:t>PowerClass</w:t>
            </w:r>
            <w:r w:rsidRPr="00437A43">
              <w:t xml:space="preserve"> = 6 dB</w:t>
            </w:r>
          </w:p>
          <w:p w14:paraId="7E4F8D56" w14:textId="77777777" w:rsidR="00E713C0" w:rsidRPr="00437A43" w:rsidRDefault="00E713C0" w:rsidP="00E713C0">
            <w:pPr>
              <w:pStyle w:val="aff6"/>
              <w:numPr>
                <w:ilvl w:val="2"/>
                <w:numId w:val="15"/>
              </w:numPr>
              <w:spacing w:after="120" w:line="240" w:lineRule="auto"/>
              <w:ind w:leftChars="1108" w:left="2576" w:firstLineChars="0" w:hanging="360"/>
              <w:jc w:val="left"/>
              <w:rPr>
                <w:rFonts w:eastAsia="宋体"/>
              </w:rPr>
            </w:pPr>
            <w:r w:rsidRPr="00437A43">
              <w:rPr>
                <w:rFonts w:eastAsia="宋体"/>
              </w:rPr>
              <w:t>If the P-bit is set to ‘1’, P-MPR method is used due to e.g. a duty cycle exceedance (where ΔP</w:t>
            </w:r>
            <w:r w:rsidRPr="00437A43">
              <w:rPr>
                <w:rFonts w:eastAsia="宋体"/>
                <w:vertAlign w:val="subscript"/>
              </w:rPr>
              <w:t>PowerClass</w:t>
            </w:r>
            <w:r w:rsidRPr="00437A43">
              <w:rPr>
                <w:rFonts w:eastAsia="宋体"/>
              </w:rPr>
              <w:t xml:space="preserve"> is not actually applied in P</w:t>
            </w:r>
            <w:r w:rsidRPr="00437A43">
              <w:rPr>
                <w:rFonts w:eastAsia="宋体"/>
                <w:vertAlign w:val="subscript"/>
              </w:rPr>
              <w:t>CMAX,f,c</w:t>
            </w:r>
            <w:r w:rsidRPr="00437A43">
              <w:rPr>
                <w:rFonts w:eastAsia="宋体"/>
              </w:rPr>
              <w:t>):</w:t>
            </w:r>
          </w:p>
          <w:p w14:paraId="4CEE17B9"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‘00’: </w:t>
            </w:r>
            <w:r w:rsidRPr="00437A43">
              <w:t>P-MPR is applied due to a proximity sensor or in case of simultaneous transmissions on multiple RAT(s) for scenarios not in scope of 3GPP RAN specifications</w:t>
            </w:r>
          </w:p>
          <w:p w14:paraId="6510FB3B"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‘01’: </w:t>
            </w:r>
            <w:r w:rsidRPr="00437A43">
              <w:t>0 dB back-off when P-MPRc = 0dB</w:t>
            </w:r>
          </w:p>
          <w:p w14:paraId="5782FD45"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‘10’: </w:t>
            </w:r>
            <w:r w:rsidRPr="00437A43">
              <w:t>3 dB back-off when 0 &lt; P-MPRc ≤ 3 dB</w:t>
            </w:r>
          </w:p>
          <w:p w14:paraId="573B1D0D" w14:textId="77777777" w:rsidR="00E713C0" w:rsidRPr="00437A43" w:rsidRDefault="00E713C0" w:rsidP="00E713C0">
            <w:pPr>
              <w:pStyle w:val="aff6"/>
              <w:numPr>
                <w:ilvl w:val="3"/>
                <w:numId w:val="15"/>
              </w:numPr>
              <w:spacing w:after="120" w:line="240" w:lineRule="auto"/>
              <w:ind w:leftChars="1468" w:left="3296" w:firstLineChars="0" w:hanging="360"/>
              <w:jc w:val="left"/>
            </w:pPr>
            <w:r w:rsidRPr="00437A43">
              <w:rPr>
                <w:rFonts w:eastAsia="宋体"/>
              </w:rPr>
              <w:t xml:space="preserve">DPC = ‘11’: </w:t>
            </w:r>
            <w:r w:rsidRPr="00437A43">
              <w:t>6 dB back-off when 3 &lt; P-MPRc ≤ 6 dB</w:t>
            </w:r>
          </w:p>
          <w:p w14:paraId="11D66586"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hint="eastAsia"/>
                <w:szCs w:val="24"/>
                <w:lang w:eastAsia="zh-CN"/>
              </w:rPr>
              <w:t>S</w:t>
            </w:r>
            <w:r w:rsidRPr="00437A43">
              <w:rPr>
                <w:rFonts w:eastAsia="宋体"/>
                <w:szCs w:val="24"/>
                <w:lang w:eastAsia="zh-CN"/>
              </w:rPr>
              <w:t>cheme 6: (ViaSat, Inmarsat)</w:t>
            </w:r>
          </w:p>
          <w:p w14:paraId="69018B70"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Observation 4: In a non-terrestrial network, if the UE is using a UL duty cycle significant enough to exceed SAR limits, it is likely at the edge of coverage (using a low MCS with lots of parity), in which case, transmit power backoff is not a preferred option as it will almost invariably lead to radio link failure. </w:t>
            </w:r>
          </w:p>
          <w:p w14:paraId="7B4F25A5" w14:textId="77777777" w:rsidR="00E713C0" w:rsidRPr="00437A43" w:rsidRDefault="00E713C0" w:rsidP="00E713C0">
            <w:pPr>
              <w:pStyle w:val="aff6"/>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Proposal 3: For NTN, extend the existing TN signalling mechanism for UL duty cycle reporting to inform the RAN that it is close to the SAR limit, then the RAN will reduce the number of UL slots allocated to the UE. When the SAR limit has fallen, the UE can signal the improved condition back to the RAN so that the UL slots are picked back up.</w:t>
            </w:r>
          </w:p>
          <w:p w14:paraId="2664229B" w14:textId="77777777" w:rsidR="00E713C0" w:rsidRPr="00437A43" w:rsidRDefault="00E713C0" w:rsidP="00E713C0">
            <w:pPr>
              <w:pStyle w:val="aff6"/>
              <w:numPr>
                <w:ilvl w:val="0"/>
                <w:numId w:val="15"/>
              </w:numPr>
              <w:overflowPunct/>
              <w:autoSpaceDE/>
              <w:autoSpaceDN/>
              <w:adjustRightInd/>
              <w:spacing w:after="120" w:line="240" w:lineRule="auto"/>
              <w:ind w:left="720" w:firstLineChars="0"/>
              <w:jc w:val="left"/>
              <w:textAlignment w:val="auto"/>
              <w:rPr>
                <w:rFonts w:eastAsia="宋体"/>
                <w:szCs w:val="24"/>
                <w:lang w:eastAsia="zh-CN"/>
              </w:rPr>
            </w:pPr>
            <w:r w:rsidRPr="00437A43">
              <w:rPr>
                <w:rFonts w:eastAsia="宋体"/>
                <w:szCs w:val="24"/>
                <w:lang w:eastAsia="zh-CN"/>
              </w:rPr>
              <w:t>WF</w:t>
            </w:r>
          </w:p>
          <w:p w14:paraId="6A904AEE"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Further discuss the proposed schemes related to duty cycle related SAR scheme.</w:t>
            </w:r>
          </w:p>
          <w:p w14:paraId="3C977643" w14:textId="77777777" w:rsidR="00E713C0" w:rsidRPr="00437A43" w:rsidRDefault="00E713C0" w:rsidP="00E713C0">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437A43">
              <w:rPr>
                <w:rFonts w:eastAsia="宋体"/>
                <w:szCs w:val="24"/>
                <w:lang w:eastAsia="zh-CN"/>
              </w:rPr>
              <w:t>Other schemes or no duty cycle related scheme are not precluded.</w:t>
            </w:r>
          </w:p>
          <w:p w14:paraId="08009C7A" w14:textId="1DCDB8A9" w:rsidR="00F46AA3" w:rsidRPr="00E713C0" w:rsidRDefault="00F46AA3" w:rsidP="00F46AA3">
            <w:pPr>
              <w:rPr>
                <w:b/>
                <w:bCs/>
                <w:lang w:eastAsia="zh-CN"/>
              </w:rPr>
            </w:pPr>
          </w:p>
        </w:tc>
      </w:tr>
    </w:tbl>
    <w:p w14:paraId="6E204A7E" w14:textId="7128F41C" w:rsidR="00F46AA3" w:rsidRPr="007A2DD4" w:rsidRDefault="007A2DD4" w:rsidP="009D27F8">
      <w:pPr>
        <w:rPr>
          <w:lang w:eastAsia="zh-CN"/>
        </w:rPr>
      </w:pPr>
      <w:r w:rsidRPr="007A2DD4">
        <w:rPr>
          <w:lang w:eastAsia="zh-CN"/>
        </w:rPr>
        <w:lastRenderedPageBreak/>
        <w:t>The P-MPR scheme remains preferable due to its mature standardization in 3GPP since Rel-15, ensuring direct NTN compatibility. Its implementation simplicity leverages UE-local sensor data (e.g., proximity/temperature) and autonomous power adjustments, eliminating network coordination needs—critical for NTN’s high-latency FDD environments. The framework supports dynamic power optimization (e.g., per-slot backoff) for coverage enhancement. Additionally, existing SAR/MPE testing standards (TS 37.145) already validate P-MPR, avoiding costly redefinition of test cases required by alternative approaches.</w:t>
      </w:r>
    </w:p>
    <w:p w14:paraId="6BCC30C8" w14:textId="0D4BDEFE" w:rsidR="00F46AA3" w:rsidRDefault="00E713C0" w:rsidP="00F916C1">
      <w:pPr>
        <w:rPr>
          <w:rFonts w:eastAsiaTheme="minorEastAsia"/>
          <w:b/>
          <w:bCs/>
          <w:lang w:eastAsia="zh-CN"/>
        </w:rPr>
      </w:pPr>
      <w:r w:rsidRPr="00E713C0">
        <w:rPr>
          <w:rFonts w:eastAsiaTheme="minorEastAsia"/>
          <w:b/>
          <w:bCs/>
          <w:lang w:eastAsia="zh-CN"/>
        </w:rPr>
        <w:t>Proposal 4: To not define any duty cycle based SAR solution, and to use the baseline P-MPR method</w:t>
      </w:r>
      <w:r w:rsidR="00F46AA3" w:rsidRPr="00F46AA3">
        <w:rPr>
          <w:rFonts w:eastAsiaTheme="minorEastAsia"/>
          <w:b/>
          <w:bCs/>
          <w:lang w:eastAsia="zh-CN"/>
        </w:rPr>
        <w:t>.</w:t>
      </w: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lastRenderedPageBreak/>
        <w:t>Conclusion</w:t>
      </w:r>
    </w:p>
    <w:p w14:paraId="774DF97F" w14:textId="0912F23B"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642024CD" w14:textId="77777777" w:rsidR="00E713C0" w:rsidRPr="00E713C0" w:rsidRDefault="00E713C0" w:rsidP="00E713C0">
      <w:pPr>
        <w:rPr>
          <w:b/>
          <w:bCs/>
        </w:rPr>
      </w:pPr>
      <w:r w:rsidRPr="00E713C0">
        <w:rPr>
          <w:rFonts w:hint="eastAsia"/>
          <w:b/>
          <w:bCs/>
        </w:rPr>
        <w:t>P</w:t>
      </w:r>
      <w:r w:rsidRPr="00E713C0">
        <w:rPr>
          <w:b/>
          <w:bCs/>
        </w:rPr>
        <w:t xml:space="preserve">roposal 1: For PC1 </w:t>
      </w:r>
      <w:r w:rsidRPr="00E713C0">
        <w:rPr>
          <w:b/>
          <w:lang w:eastAsia="ko-KR"/>
        </w:rPr>
        <w:t>eMTC based Iot-NTN HPUE</w:t>
      </w:r>
      <w:r w:rsidRPr="00E713C0">
        <w:rPr>
          <w:b/>
          <w:bCs/>
        </w:rPr>
        <w:t xml:space="preserve"> ACLR can be determine as 31dB</w:t>
      </w:r>
      <w:r w:rsidRPr="00E713C0">
        <w:rPr>
          <w:rFonts w:hint="eastAsia"/>
          <w:b/>
          <w:bCs/>
          <w:lang w:eastAsia="zh-CN"/>
        </w:rPr>
        <w:t>c</w:t>
      </w:r>
    </w:p>
    <w:p w14:paraId="25607D20" w14:textId="77777777" w:rsidR="00E713C0" w:rsidRDefault="00E713C0" w:rsidP="00E713C0">
      <w:pPr>
        <w:rPr>
          <w:rFonts w:eastAsiaTheme="minorEastAsia"/>
          <w:b/>
          <w:bCs/>
          <w:lang w:eastAsia="zh-CN"/>
        </w:rPr>
      </w:pPr>
      <w:r w:rsidRPr="00C51546">
        <w:rPr>
          <w:rFonts w:eastAsiaTheme="minorEastAsia" w:hint="eastAsia"/>
          <w:b/>
          <w:bCs/>
          <w:lang w:eastAsia="zh-CN"/>
        </w:rPr>
        <w:t>P</w:t>
      </w:r>
      <w:r w:rsidRPr="00C51546">
        <w:rPr>
          <w:rFonts w:eastAsiaTheme="minorEastAsia"/>
          <w:b/>
          <w:bCs/>
          <w:lang w:eastAsia="zh-CN"/>
        </w:rPr>
        <w:t xml:space="preserve">roposal </w:t>
      </w:r>
      <w:r>
        <w:rPr>
          <w:rFonts w:eastAsiaTheme="minorEastAsia"/>
          <w:b/>
          <w:bCs/>
          <w:lang w:eastAsia="zh-CN"/>
        </w:rPr>
        <w:t>2</w:t>
      </w:r>
      <w:r w:rsidRPr="00C51546">
        <w:rPr>
          <w:rFonts w:eastAsiaTheme="minorEastAsia"/>
          <w:b/>
          <w:bCs/>
          <w:lang w:eastAsia="zh-CN"/>
        </w:rPr>
        <w:t>: RAN4 should consider P-MPR for both handheld UEs and non-handheld UEs</w:t>
      </w:r>
    </w:p>
    <w:p w14:paraId="631A0A8D" w14:textId="77777777" w:rsidR="00E713C0" w:rsidRDefault="00E713C0" w:rsidP="00E713C0">
      <w:pPr>
        <w:rPr>
          <w:b/>
          <w:lang w:eastAsia="zh-CN"/>
        </w:rPr>
      </w:pPr>
      <w:r w:rsidRPr="00B54E52">
        <w:rPr>
          <w:rFonts w:hint="eastAsia"/>
          <w:b/>
          <w:bCs/>
          <w:lang w:val="sv-SE" w:eastAsia="zh-CN"/>
        </w:rPr>
        <w:t>Proposal</w:t>
      </w:r>
      <w:r w:rsidRPr="00B54E52">
        <w:rPr>
          <w:b/>
          <w:bCs/>
          <w:lang w:val="sv-SE" w:eastAsia="zh-CN"/>
        </w:rPr>
        <w:t xml:space="preserve"> 3</w:t>
      </w:r>
      <w:r>
        <w:rPr>
          <w:rFonts w:hint="eastAsia"/>
          <w:b/>
          <w:bCs/>
          <w:lang w:val="sv-SE" w:eastAsia="zh-CN"/>
        </w:rPr>
        <w:t>:</w:t>
      </w:r>
      <w:r>
        <w:rPr>
          <w:b/>
          <w:bCs/>
          <w:lang w:val="sv-SE" w:eastAsia="zh-CN"/>
        </w:rPr>
        <w:t xml:space="preserve"> apply 1.2dB RSD for band 256 for PC2 1Tx RSD for the </w:t>
      </w:r>
      <w:r w:rsidRPr="00B54E52">
        <w:rPr>
          <w:b/>
          <w:lang w:eastAsia="zh-CN"/>
        </w:rPr>
        <w:t>full duplex eMTC based</w:t>
      </w:r>
      <w:r>
        <w:rPr>
          <w:b/>
          <w:lang w:eastAsia="zh-CN"/>
        </w:rPr>
        <w:t xml:space="preserve"> IoT-NTN UE.</w:t>
      </w:r>
    </w:p>
    <w:p w14:paraId="05B5FB5B" w14:textId="77777777" w:rsidR="00E713C0" w:rsidRDefault="00E713C0" w:rsidP="00E713C0">
      <w:pPr>
        <w:rPr>
          <w:rFonts w:eastAsiaTheme="minorEastAsia"/>
          <w:b/>
          <w:bCs/>
          <w:lang w:eastAsia="zh-CN"/>
        </w:rPr>
      </w:pPr>
      <w:r w:rsidRPr="00E713C0">
        <w:rPr>
          <w:rFonts w:eastAsiaTheme="minorEastAsia"/>
          <w:b/>
          <w:bCs/>
          <w:lang w:eastAsia="zh-CN"/>
        </w:rPr>
        <w:t>Proposal 4: To not define any duty cycle based SAR solution, and to use the baseline P-MPR method</w:t>
      </w:r>
      <w:r w:rsidRPr="00F46AA3">
        <w:rPr>
          <w:rFonts w:eastAsiaTheme="minorEastAsia"/>
          <w:b/>
          <w:bCs/>
          <w:lang w:eastAsia="zh-CN"/>
        </w:rPr>
        <w:t>.</w:t>
      </w:r>
    </w:p>
    <w:p w14:paraId="36E37D9A" w14:textId="77777777" w:rsidR="009A3012" w:rsidRPr="000B2AFD" w:rsidRDefault="009A3012" w:rsidP="00F67874">
      <w:pPr>
        <w:rPr>
          <w:szCs w:val="21"/>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3192E64D" w:rsidR="00D62546" w:rsidRPr="00B243A2" w:rsidRDefault="006E0CAF" w:rsidP="004F652D">
      <w:r>
        <w:t>[</w:t>
      </w:r>
      <w:r w:rsidR="005E1368">
        <w:t>1</w:t>
      </w:r>
      <w:r>
        <w:t xml:space="preserve">] </w:t>
      </w:r>
      <w:r w:rsidR="00453B35" w:rsidRPr="00453B35">
        <w:t>R4-250</w:t>
      </w:r>
      <w:r w:rsidR="00E713C0">
        <w:t>5114</w:t>
      </w:r>
      <w:r w:rsidR="00F67874">
        <w:t xml:space="preserve">, </w:t>
      </w:r>
      <w:r w:rsidR="00453B35" w:rsidRPr="00453B35">
        <w:t>WF on HPUE UE requirement for IoT-NTN</w:t>
      </w:r>
      <w:r w:rsidR="00F67874">
        <w:t xml:space="preserve">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4767B" w14:textId="77777777" w:rsidR="00B0672B" w:rsidRDefault="00B0672B" w:rsidP="00FC2656">
      <w:r>
        <w:separator/>
      </w:r>
    </w:p>
  </w:endnote>
  <w:endnote w:type="continuationSeparator" w:id="0">
    <w:p w14:paraId="4DBA7C5F" w14:textId="77777777" w:rsidR="00B0672B" w:rsidRDefault="00B0672B"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4314A" w14:textId="77777777" w:rsidR="00B0672B" w:rsidRDefault="00B0672B" w:rsidP="00FC2656">
      <w:r>
        <w:separator/>
      </w:r>
    </w:p>
  </w:footnote>
  <w:footnote w:type="continuationSeparator" w:id="0">
    <w:p w14:paraId="5888B236" w14:textId="77777777" w:rsidR="00B0672B" w:rsidRDefault="00B0672B"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6"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3"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9"/>
  </w:num>
  <w:num w:numId="2">
    <w:abstractNumId w:val="30"/>
  </w:num>
  <w:num w:numId="3">
    <w:abstractNumId w:val="0"/>
  </w:num>
  <w:num w:numId="4">
    <w:abstractNumId w:val="25"/>
  </w:num>
  <w:num w:numId="5">
    <w:abstractNumId w:val="32"/>
  </w:num>
  <w:num w:numId="6">
    <w:abstractNumId w:val="13"/>
  </w:num>
  <w:num w:numId="7">
    <w:abstractNumId w:val="33"/>
  </w:num>
  <w:num w:numId="8">
    <w:abstractNumId w:val="18"/>
  </w:num>
  <w:num w:numId="9">
    <w:abstractNumId w:val="14"/>
  </w:num>
  <w:num w:numId="10">
    <w:abstractNumId w:val="16"/>
  </w:num>
  <w:num w:numId="11">
    <w:abstractNumId w:val="11"/>
  </w:num>
  <w:num w:numId="12">
    <w:abstractNumId w:val="34"/>
  </w:num>
  <w:num w:numId="13">
    <w:abstractNumId w:val="24"/>
  </w:num>
  <w:num w:numId="14">
    <w:abstractNumId w:val="29"/>
  </w:num>
  <w:num w:numId="15">
    <w:abstractNumId w:val="28"/>
  </w:num>
  <w:num w:numId="16">
    <w:abstractNumId w:val="8"/>
  </w:num>
  <w:num w:numId="17">
    <w:abstractNumId w:val="4"/>
  </w:num>
  <w:num w:numId="18">
    <w:abstractNumId w:val="5"/>
  </w:num>
  <w:num w:numId="19">
    <w:abstractNumId w:val="26"/>
  </w:num>
  <w:num w:numId="20">
    <w:abstractNumId w:val="28"/>
  </w:num>
  <w:num w:numId="21">
    <w:abstractNumId w:val="23"/>
  </w:num>
  <w:num w:numId="22">
    <w:abstractNumId w:val="12"/>
  </w:num>
  <w:num w:numId="23">
    <w:abstractNumId w:val="15"/>
  </w:num>
  <w:num w:numId="24">
    <w:abstractNumId w:val="28"/>
  </w:num>
  <w:num w:numId="25">
    <w:abstractNumId w:val="2"/>
  </w:num>
  <w:num w:numId="26">
    <w:abstractNumId w:val="31"/>
  </w:num>
  <w:num w:numId="27">
    <w:abstractNumId w:val="1"/>
  </w:num>
  <w:num w:numId="28">
    <w:abstractNumId w:val="0"/>
  </w:num>
  <w:num w:numId="29">
    <w:abstractNumId w:val="10"/>
  </w:num>
  <w:num w:numId="30">
    <w:abstractNumId w:val="21"/>
  </w:num>
  <w:num w:numId="31">
    <w:abstractNumId w:val="20"/>
  </w:num>
  <w:num w:numId="32">
    <w:abstractNumId w:val="3"/>
  </w:num>
  <w:num w:numId="33">
    <w:abstractNumId w:val="17"/>
  </w:num>
  <w:num w:numId="34">
    <w:abstractNumId w:val="9"/>
  </w:num>
  <w:num w:numId="35">
    <w:abstractNumId w:val="28"/>
  </w:num>
  <w:num w:numId="36">
    <w:abstractNumId w:val="28"/>
  </w:num>
  <w:num w:numId="37">
    <w:abstractNumId w:val="7"/>
  </w:num>
  <w:num w:numId="38">
    <w:abstractNumId w:val="6"/>
  </w:num>
  <w:num w:numId="39">
    <w:abstractNumId w:val="27"/>
  </w:num>
  <w:num w:numId="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0D87"/>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AFD"/>
    <w:rsid w:val="000B2EE5"/>
    <w:rsid w:val="000B2EF6"/>
    <w:rsid w:val="000B2FA6"/>
    <w:rsid w:val="000B448A"/>
    <w:rsid w:val="000B4AA0"/>
    <w:rsid w:val="000C2553"/>
    <w:rsid w:val="000C38C3"/>
    <w:rsid w:val="000C5C42"/>
    <w:rsid w:val="000C758B"/>
    <w:rsid w:val="000C75FE"/>
    <w:rsid w:val="000D09FD"/>
    <w:rsid w:val="000D0F50"/>
    <w:rsid w:val="000D1436"/>
    <w:rsid w:val="000D41EA"/>
    <w:rsid w:val="000D44FB"/>
    <w:rsid w:val="000D4977"/>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57266"/>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0A91"/>
    <w:rsid w:val="001A22A5"/>
    <w:rsid w:val="001A2422"/>
    <w:rsid w:val="001A44C8"/>
    <w:rsid w:val="001A59CB"/>
    <w:rsid w:val="001B214A"/>
    <w:rsid w:val="001B231D"/>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EA5"/>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277C"/>
    <w:rsid w:val="002435CA"/>
    <w:rsid w:val="00243618"/>
    <w:rsid w:val="0024469F"/>
    <w:rsid w:val="00250B5B"/>
    <w:rsid w:val="00252DB8"/>
    <w:rsid w:val="002537BC"/>
    <w:rsid w:val="00255C58"/>
    <w:rsid w:val="00260EC7"/>
    <w:rsid w:val="00261539"/>
    <w:rsid w:val="0026179F"/>
    <w:rsid w:val="00265179"/>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2225"/>
    <w:rsid w:val="002B516C"/>
    <w:rsid w:val="002B5E1D"/>
    <w:rsid w:val="002B60C1"/>
    <w:rsid w:val="002C3E0F"/>
    <w:rsid w:val="002C4848"/>
    <w:rsid w:val="002C4B52"/>
    <w:rsid w:val="002C51DB"/>
    <w:rsid w:val="002C5842"/>
    <w:rsid w:val="002D0234"/>
    <w:rsid w:val="002D03E5"/>
    <w:rsid w:val="002D051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5E88"/>
    <w:rsid w:val="00336697"/>
    <w:rsid w:val="0033724A"/>
    <w:rsid w:val="00337656"/>
    <w:rsid w:val="00337831"/>
    <w:rsid w:val="003415DC"/>
    <w:rsid w:val="003418CB"/>
    <w:rsid w:val="003431A8"/>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5CCE"/>
    <w:rsid w:val="003D7719"/>
    <w:rsid w:val="003E1935"/>
    <w:rsid w:val="003E3AAD"/>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5E71"/>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3B35"/>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0F82"/>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3C3C"/>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6640"/>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C68"/>
    <w:rsid w:val="00664A51"/>
    <w:rsid w:val="006653A9"/>
    <w:rsid w:val="006670AC"/>
    <w:rsid w:val="00671226"/>
    <w:rsid w:val="00672307"/>
    <w:rsid w:val="00673A42"/>
    <w:rsid w:val="00674FAE"/>
    <w:rsid w:val="006808C6"/>
    <w:rsid w:val="00681CF0"/>
    <w:rsid w:val="00682668"/>
    <w:rsid w:val="006839E7"/>
    <w:rsid w:val="006872EF"/>
    <w:rsid w:val="00691DC2"/>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64E1"/>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44F"/>
    <w:rsid w:val="007846C2"/>
    <w:rsid w:val="0078536E"/>
    <w:rsid w:val="00785B4D"/>
    <w:rsid w:val="00786921"/>
    <w:rsid w:val="00792B0C"/>
    <w:rsid w:val="00792D70"/>
    <w:rsid w:val="007949A9"/>
    <w:rsid w:val="00796E6A"/>
    <w:rsid w:val="00797676"/>
    <w:rsid w:val="007A0938"/>
    <w:rsid w:val="007A157B"/>
    <w:rsid w:val="007A1EAA"/>
    <w:rsid w:val="007A2DD4"/>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43C"/>
    <w:rsid w:val="008177E3"/>
    <w:rsid w:val="00821369"/>
    <w:rsid w:val="008217D2"/>
    <w:rsid w:val="00821EA8"/>
    <w:rsid w:val="008230A3"/>
    <w:rsid w:val="00823AA9"/>
    <w:rsid w:val="008246C8"/>
    <w:rsid w:val="00824EF4"/>
    <w:rsid w:val="008255B9"/>
    <w:rsid w:val="00825CD8"/>
    <w:rsid w:val="00825D14"/>
    <w:rsid w:val="00826383"/>
    <w:rsid w:val="00827324"/>
    <w:rsid w:val="00831715"/>
    <w:rsid w:val="008321DF"/>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012"/>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7F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3FFE"/>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568BA"/>
    <w:rsid w:val="00A604A4"/>
    <w:rsid w:val="00A61B7D"/>
    <w:rsid w:val="00A61F4F"/>
    <w:rsid w:val="00A64176"/>
    <w:rsid w:val="00A6605B"/>
    <w:rsid w:val="00A66A4E"/>
    <w:rsid w:val="00A66ADC"/>
    <w:rsid w:val="00A673BA"/>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EE"/>
    <w:rsid w:val="00AD7736"/>
    <w:rsid w:val="00AE10CE"/>
    <w:rsid w:val="00AE3303"/>
    <w:rsid w:val="00AE6A1E"/>
    <w:rsid w:val="00AE70D4"/>
    <w:rsid w:val="00AE7868"/>
    <w:rsid w:val="00AF0407"/>
    <w:rsid w:val="00AF049B"/>
    <w:rsid w:val="00AF4D8B"/>
    <w:rsid w:val="00AF734D"/>
    <w:rsid w:val="00AF7607"/>
    <w:rsid w:val="00B05575"/>
    <w:rsid w:val="00B0672B"/>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4E52"/>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310"/>
    <w:rsid w:val="00C45D91"/>
    <w:rsid w:val="00C46814"/>
    <w:rsid w:val="00C47C71"/>
    <w:rsid w:val="00C47F08"/>
    <w:rsid w:val="00C505A1"/>
    <w:rsid w:val="00C514A6"/>
    <w:rsid w:val="00C5154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2B3"/>
    <w:rsid w:val="00DE3D1C"/>
    <w:rsid w:val="00DF1441"/>
    <w:rsid w:val="00DF14A8"/>
    <w:rsid w:val="00DF1609"/>
    <w:rsid w:val="00DF42DD"/>
    <w:rsid w:val="00DF4EEC"/>
    <w:rsid w:val="00E0227D"/>
    <w:rsid w:val="00E04B84"/>
    <w:rsid w:val="00E05314"/>
    <w:rsid w:val="00E05635"/>
    <w:rsid w:val="00E06360"/>
    <w:rsid w:val="00E06466"/>
    <w:rsid w:val="00E066CA"/>
    <w:rsid w:val="00E06835"/>
    <w:rsid w:val="00E06888"/>
    <w:rsid w:val="00E06FDA"/>
    <w:rsid w:val="00E07819"/>
    <w:rsid w:val="00E105CC"/>
    <w:rsid w:val="00E11FA6"/>
    <w:rsid w:val="00E1600F"/>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14C5"/>
    <w:rsid w:val="00E64E9E"/>
    <w:rsid w:val="00E65BC6"/>
    <w:rsid w:val="00E661FF"/>
    <w:rsid w:val="00E663E6"/>
    <w:rsid w:val="00E67894"/>
    <w:rsid w:val="00E713C0"/>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4CE7"/>
    <w:rsid w:val="00F1679D"/>
    <w:rsid w:val="00F1682C"/>
    <w:rsid w:val="00F171EE"/>
    <w:rsid w:val="00F17493"/>
    <w:rsid w:val="00F17AFA"/>
    <w:rsid w:val="00F20666"/>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6A7A"/>
    <w:rsid w:val="00F46AA3"/>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6C1"/>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679"/>
    <w:rsid w:val="00FD7AA7"/>
    <w:rsid w:val="00FE4DB1"/>
    <w:rsid w:val="00FE5750"/>
    <w:rsid w:val="00FE6E2C"/>
    <w:rsid w:val="00FE7B4A"/>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E88"/>
    <w:pPr>
      <w:spacing w:after="180" w:line="240" w:lineRule="auto"/>
      <w:jc w:val="left"/>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line="259" w:lineRule="auto"/>
      <w:ind w:left="568" w:hanging="284"/>
      <w:jc w:val="both"/>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line="259" w:lineRule="auto"/>
      <w:jc w:val="both"/>
    </w:pPr>
    <w:rPr>
      <w:b/>
    </w:rPr>
  </w:style>
  <w:style w:type="paragraph" w:styleId="a8">
    <w:name w:val="Document Map"/>
    <w:basedOn w:val="a"/>
    <w:semiHidden/>
    <w:pPr>
      <w:widowControl w:val="0"/>
      <w:shd w:val="clear" w:color="auto" w:fill="000080"/>
      <w:spacing w:after="0"/>
      <w:jc w:val="both"/>
    </w:pPr>
    <w:rPr>
      <w:rFonts w:ascii="Tahoma" w:eastAsiaTheme="minorEastAsia" w:hAnsi="Tahoma" w:cstheme="minorBidi"/>
      <w:kern w:val="2"/>
      <w:sz w:val="21"/>
      <w:szCs w:val="22"/>
      <w:lang w:val="en-US" w:eastAsia="zh-CN"/>
    </w:rPr>
  </w:style>
  <w:style w:type="paragraph" w:styleId="a9">
    <w:name w:val="annotation text"/>
    <w:basedOn w:val="a"/>
    <w:link w:val="aa"/>
    <w:pPr>
      <w:spacing w:line="259" w:lineRule="auto"/>
      <w:jc w:val="both"/>
    </w:pPr>
  </w:style>
  <w:style w:type="paragraph" w:styleId="ab">
    <w:name w:val="Body Text"/>
    <w:basedOn w:val="a"/>
    <w:link w:val="ac"/>
    <w:qFormat/>
    <w:pPr>
      <w:spacing w:line="259" w:lineRule="auto"/>
      <w:jc w:val="both"/>
    </w:pPr>
  </w:style>
  <w:style w:type="paragraph" w:styleId="ad">
    <w:name w:val="Plain Text"/>
    <w:basedOn w:val="a"/>
    <w:link w:val="ae"/>
    <w:uiPriority w:val="99"/>
    <w:qFormat/>
    <w:pPr>
      <w:spacing w:line="259" w:lineRule="auto"/>
      <w:jc w:val="both"/>
    </w:pPr>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line="259" w:lineRule="auto"/>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spacing w:line="259" w:lineRule="auto"/>
      <w:jc w:val="both"/>
      <w:textAlignment w:val="baseline"/>
    </w:pPr>
    <w:rPr>
      <w:rFonts w:eastAsia="Yu Mincho"/>
    </w:rPr>
  </w:style>
  <w:style w:type="paragraph" w:styleId="af1">
    <w:name w:val="Balloon Text"/>
    <w:basedOn w:val="a"/>
    <w:link w:val="af2"/>
    <w:qFormat/>
    <w:pPr>
      <w:spacing w:after="0" w:line="259" w:lineRule="auto"/>
      <w:jc w:val="both"/>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widowControl w:val="0"/>
      <w:pBdr>
        <w:top w:val="single" w:sz="12" w:space="0" w:color="auto"/>
      </w:pBdr>
      <w:spacing w:before="360" w:after="240"/>
      <w:jc w:val="both"/>
    </w:pPr>
    <w:rPr>
      <w:rFonts w:asciiTheme="minorHAnsi" w:eastAsiaTheme="minorEastAsia" w:hAnsiTheme="minorHAnsi" w:cstheme="minorBidi"/>
      <w:b/>
      <w:i/>
      <w:kern w:val="2"/>
      <w:sz w:val="26"/>
      <w:szCs w:val="22"/>
      <w:lang w:val="en-US" w:eastAsia="zh-CN"/>
    </w:rPr>
  </w:style>
  <w:style w:type="paragraph" w:styleId="af8">
    <w:name w:val="footnote text"/>
    <w:basedOn w:val="a"/>
    <w:link w:val="af9"/>
    <w:semiHidden/>
    <w:qFormat/>
    <w:pPr>
      <w:keepLines/>
      <w:spacing w:after="0" w:line="259" w:lineRule="auto"/>
      <w:ind w:left="454" w:hanging="454"/>
      <w:jc w:val="both"/>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eastAsia="Arial Unicode MS"/>
      <w:sz w:val="24"/>
      <w:szCs w:val="24"/>
    </w:rPr>
  </w:style>
  <w:style w:type="paragraph" w:styleId="11">
    <w:name w:val="index 1"/>
    <w:basedOn w:val="a"/>
    <w:next w:val="a"/>
    <w:semiHidden/>
    <w:qFormat/>
    <w:pPr>
      <w:keepLines/>
      <w:spacing w:after="0" w:line="259" w:lineRule="auto"/>
      <w:jc w:val="both"/>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line="259" w:lineRule="auto"/>
      <w:jc w:val="both"/>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line="259" w:lineRule="auto"/>
      <w:ind w:left="1135" w:hanging="851"/>
      <w:jc w:val="both"/>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line="259" w:lineRule="auto"/>
      <w:jc w:val="both"/>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line="259" w:lineRule="auto"/>
      <w:ind w:left="1702" w:hanging="1418"/>
      <w:jc w:val="both"/>
    </w:pPr>
  </w:style>
  <w:style w:type="paragraph" w:customStyle="1" w:styleId="FP">
    <w:name w:val="FP"/>
    <w:basedOn w:val="a"/>
    <w:qFormat/>
    <w:pPr>
      <w:spacing w:after="0" w:line="259" w:lineRule="auto"/>
      <w:jc w:val="both"/>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line="259" w:lineRule="auto"/>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line="259" w:lineRule="auto"/>
      <w:ind w:left="851"/>
      <w:jc w:val="both"/>
    </w:pPr>
  </w:style>
  <w:style w:type="paragraph" w:customStyle="1" w:styleId="INDENT2">
    <w:name w:val="INDENT2"/>
    <w:basedOn w:val="a"/>
    <w:pPr>
      <w:spacing w:line="259" w:lineRule="auto"/>
      <w:ind w:left="1135" w:hanging="284"/>
      <w:jc w:val="both"/>
    </w:pPr>
  </w:style>
  <w:style w:type="paragraph" w:customStyle="1" w:styleId="INDENT3">
    <w:name w:val="INDENT3"/>
    <w:basedOn w:val="a"/>
    <w:pPr>
      <w:spacing w:line="259" w:lineRule="auto"/>
      <w:ind w:left="1701" w:hanging="567"/>
      <w:jc w:val="both"/>
    </w:p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a"/>
    <w:qFormat/>
    <w:pPr>
      <w:keepNext/>
      <w:keepLines/>
      <w:spacing w:line="259" w:lineRule="auto"/>
      <w:jc w:val="both"/>
    </w:pPr>
    <w:rPr>
      <w:b/>
    </w:rPr>
  </w:style>
  <w:style w:type="paragraph" w:customStyle="1" w:styleId="enumlev2">
    <w:name w:val="enumlev2"/>
    <w:basedOn w:val="a"/>
    <w:qFormat/>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a"/>
    <w:pPr>
      <w:keepNext/>
      <w:keepLines/>
      <w:spacing w:before="240" w:line="259" w:lineRule="auto"/>
      <w:ind w:left="1418"/>
      <w:jc w:val="both"/>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pPr>
      <w:spacing w:line="259" w:lineRule="auto"/>
      <w:jc w:val="both"/>
    </w:pP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line="259" w:lineRule="auto"/>
      <w:ind w:left="1134" w:hanging="1134"/>
      <w:jc w:val="both"/>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line="259" w:lineRule="auto"/>
      <w:jc w:val="both"/>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pPr>
      <w:spacing w:before="100" w:beforeAutospacing="1" w:after="100" w:afterAutospacing="1" w:line="259" w:lineRule="auto"/>
      <w:jc w:val="both"/>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spacing w:line="259" w:lineRule="auto"/>
      <w:ind w:firstLineChars="200" w:firstLine="420"/>
      <w:jc w:val="both"/>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widowControl w:val="0"/>
      <w:spacing w:after="0" w:line="480" w:lineRule="auto"/>
      <w:jc w:val="both"/>
    </w:pPr>
    <w:rPr>
      <w:rFonts w:asciiTheme="minorHAnsi" w:eastAsiaTheme="minorEastAsia" w:hAnsiTheme="minorHAnsi" w:cstheme="minorBidi"/>
      <w:kern w:val="2"/>
      <w:sz w:val="21"/>
      <w:szCs w:val="22"/>
      <w:lang w:val="en-US" w:eastAsia="zh-CN"/>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ind w:firstLine="420"/>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styleId="aff9">
    <w:name w:val="Strong"/>
    <w:basedOn w:val="a0"/>
    <w:uiPriority w:val="22"/>
    <w:qFormat/>
    <w:rsid w:val="00F20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716">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65119454">
      <w:bodyDiv w:val="1"/>
      <w:marLeft w:val="0"/>
      <w:marRight w:val="0"/>
      <w:marTop w:val="0"/>
      <w:marBottom w:val="0"/>
      <w:divBdr>
        <w:top w:val="none" w:sz="0" w:space="0" w:color="auto"/>
        <w:left w:val="none" w:sz="0" w:space="0" w:color="auto"/>
        <w:bottom w:val="none" w:sz="0" w:space="0" w:color="auto"/>
        <w:right w:val="none" w:sz="0" w:space="0" w:color="auto"/>
      </w:divBdr>
    </w:div>
    <w:div w:id="28804773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7238020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979383105">
      <w:bodyDiv w:val="1"/>
      <w:marLeft w:val="0"/>
      <w:marRight w:val="0"/>
      <w:marTop w:val="0"/>
      <w:marBottom w:val="0"/>
      <w:divBdr>
        <w:top w:val="none" w:sz="0" w:space="0" w:color="auto"/>
        <w:left w:val="none" w:sz="0" w:space="0" w:color="auto"/>
        <w:bottom w:val="none" w:sz="0" w:space="0" w:color="auto"/>
        <w:right w:val="none" w:sz="0" w:space="0" w:color="auto"/>
      </w:divBdr>
      <w:divsChild>
        <w:div w:id="2004435075">
          <w:marLeft w:val="0"/>
          <w:marRight w:val="0"/>
          <w:marTop w:val="0"/>
          <w:marBottom w:val="206"/>
          <w:divBdr>
            <w:top w:val="none" w:sz="0" w:space="0" w:color="auto"/>
            <w:left w:val="none" w:sz="0" w:space="0" w:color="auto"/>
            <w:bottom w:val="none" w:sz="0" w:space="0" w:color="auto"/>
            <w:right w:val="none" w:sz="0" w:space="0" w:color="auto"/>
          </w:divBdr>
        </w:div>
        <w:div w:id="1869446532">
          <w:marLeft w:val="0"/>
          <w:marRight w:val="0"/>
          <w:marTop w:val="0"/>
          <w:marBottom w:val="206"/>
          <w:divBdr>
            <w:top w:val="none" w:sz="0" w:space="0" w:color="auto"/>
            <w:left w:val="none" w:sz="0" w:space="0" w:color="auto"/>
            <w:bottom w:val="none" w:sz="0" w:space="0" w:color="auto"/>
            <w:right w:val="none" w:sz="0" w:space="0" w:color="auto"/>
          </w:divBdr>
        </w:div>
        <w:div w:id="917399254">
          <w:marLeft w:val="0"/>
          <w:marRight w:val="0"/>
          <w:marTop w:val="0"/>
          <w:marBottom w:val="0"/>
          <w:divBdr>
            <w:top w:val="none" w:sz="0" w:space="0" w:color="auto"/>
            <w:left w:val="none" w:sz="0" w:space="0" w:color="auto"/>
            <w:bottom w:val="none" w:sz="0" w:space="0" w:color="auto"/>
            <w:right w:val="none" w:sz="0" w:space="0" w:color="auto"/>
          </w:divBdr>
        </w:div>
        <w:div w:id="1363554764">
          <w:marLeft w:val="0"/>
          <w:marRight w:val="0"/>
          <w:marTop w:val="0"/>
          <w:marBottom w:val="0"/>
          <w:divBdr>
            <w:top w:val="none" w:sz="0" w:space="0" w:color="auto"/>
            <w:left w:val="none" w:sz="0" w:space="0" w:color="auto"/>
            <w:bottom w:val="none" w:sz="0" w:space="0" w:color="auto"/>
            <w:right w:val="none" w:sz="0" w:space="0" w:color="auto"/>
          </w:divBdr>
        </w:div>
        <w:div w:id="1818449380">
          <w:marLeft w:val="0"/>
          <w:marRight w:val="0"/>
          <w:marTop w:val="206"/>
          <w:marBottom w:val="0"/>
          <w:divBdr>
            <w:top w:val="none" w:sz="0" w:space="0" w:color="auto"/>
            <w:left w:val="none" w:sz="0" w:space="0" w:color="auto"/>
            <w:bottom w:val="none" w:sz="0" w:space="0" w:color="auto"/>
            <w:right w:val="none" w:sz="0" w:space="0" w:color="auto"/>
          </w:divBdr>
        </w:div>
      </w:divsChild>
    </w:div>
    <w:div w:id="986544036">
      <w:bodyDiv w:val="1"/>
      <w:marLeft w:val="0"/>
      <w:marRight w:val="0"/>
      <w:marTop w:val="0"/>
      <w:marBottom w:val="0"/>
      <w:divBdr>
        <w:top w:val="none" w:sz="0" w:space="0" w:color="auto"/>
        <w:left w:val="none" w:sz="0" w:space="0" w:color="auto"/>
        <w:bottom w:val="none" w:sz="0" w:space="0" w:color="auto"/>
        <w:right w:val="none" w:sz="0" w:space="0" w:color="auto"/>
      </w:divBdr>
      <w:divsChild>
        <w:div w:id="1804347877">
          <w:marLeft w:val="0"/>
          <w:marRight w:val="0"/>
          <w:marTop w:val="0"/>
          <w:marBottom w:val="0"/>
          <w:divBdr>
            <w:top w:val="none" w:sz="0" w:space="0" w:color="auto"/>
            <w:left w:val="none" w:sz="0" w:space="0" w:color="auto"/>
            <w:bottom w:val="none" w:sz="0" w:space="0" w:color="auto"/>
            <w:right w:val="none" w:sz="0" w:space="0" w:color="auto"/>
          </w:divBdr>
          <w:divsChild>
            <w:div w:id="246698676">
              <w:marLeft w:val="0"/>
              <w:marRight w:val="0"/>
              <w:marTop w:val="0"/>
              <w:marBottom w:val="0"/>
              <w:divBdr>
                <w:top w:val="none" w:sz="0" w:space="0" w:color="auto"/>
                <w:left w:val="none" w:sz="0" w:space="0" w:color="auto"/>
                <w:bottom w:val="none" w:sz="0" w:space="0" w:color="auto"/>
                <w:right w:val="none" w:sz="0" w:space="0" w:color="auto"/>
              </w:divBdr>
            </w:div>
            <w:div w:id="845436424">
              <w:marLeft w:val="0"/>
              <w:marRight w:val="0"/>
              <w:marTop w:val="0"/>
              <w:marBottom w:val="0"/>
              <w:divBdr>
                <w:top w:val="none" w:sz="0" w:space="0" w:color="auto"/>
                <w:left w:val="none" w:sz="0" w:space="0" w:color="auto"/>
                <w:bottom w:val="none" w:sz="0" w:space="0" w:color="auto"/>
                <w:right w:val="none" w:sz="0" w:space="0" w:color="auto"/>
              </w:divBdr>
            </w:div>
            <w:div w:id="535048034">
              <w:marLeft w:val="0"/>
              <w:marRight w:val="0"/>
              <w:marTop w:val="0"/>
              <w:marBottom w:val="0"/>
              <w:divBdr>
                <w:top w:val="none" w:sz="0" w:space="0" w:color="auto"/>
                <w:left w:val="none" w:sz="0" w:space="0" w:color="auto"/>
                <w:bottom w:val="none" w:sz="0" w:space="0" w:color="auto"/>
                <w:right w:val="none" w:sz="0" w:space="0" w:color="auto"/>
              </w:divBdr>
            </w:div>
            <w:div w:id="1491674768">
              <w:marLeft w:val="0"/>
              <w:marRight w:val="0"/>
              <w:marTop w:val="0"/>
              <w:marBottom w:val="0"/>
              <w:divBdr>
                <w:top w:val="none" w:sz="0" w:space="0" w:color="auto"/>
                <w:left w:val="none" w:sz="0" w:space="0" w:color="auto"/>
                <w:bottom w:val="none" w:sz="0" w:space="0" w:color="auto"/>
                <w:right w:val="none" w:sz="0" w:space="0" w:color="auto"/>
              </w:divBdr>
            </w:div>
            <w:div w:id="1866745206">
              <w:marLeft w:val="0"/>
              <w:marRight w:val="0"/>
              <w:marTop w:val="0"/>
              <w:marBottom w:val="0"/>
              <w:divBdr>
                <w:top w:val="none" w:sz="0" w:space="0" w:color="auto"/>
                <w:left w:val="none" w:sz="0" w:space="0" w:color="auto"/>
                <w:bottom w:val="none" w:sz="0" w:space="0" w:color="auto"/>
                <w:right w:val="none" w:sz="0" w:space="0" w:color="auto"/>
              </w:divBdr>
            </w:div>
            <w:div w:id="1678770807">
              <w:marLeft w:val="0"/>
              <w:marRight w:val="0"/>
              <w:marTop w:val="0"/>
              <w:marBottom w:val="0"/>
              <w:divBdr>
                <w:top w:val="none" w:sz="0" w:space="0" w:color="auto"/>
                <w:left w:val="none" w:sz="0" w:space="0" w:color="auto"/>
                <w:bottom w:val="none" w:sz="0" w:space="0" w:color="auto"/>
                <w:right w:val="none" w:sz="0" w:space="0" w:color="auto"/>
              </w:divBdr>
            </w:div>
            <w:div w:id="7133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48548646">
      <w:bodyDiv w:val="1"/>
      <w:marLeft w:val="0"/>
      <w:marRight w:val="0"/>
      <w:marTop w:val="0"/>
      <w:marBottom w:val="0"/>
      <w:divBdr>
        <w:top w:val="none" w:sz="0" w:space="0" w:color="auto"/>
        <w:left w:val="none" w:sz="0" w:space="0" w:color="auto"/>
        <w:bottom w:val="none" w:sz="0" w:space="0" w:color="auto"/>
        <w:right w:val="none" w:sz="0" w:space="0" w:color="auto"/>
      </w:divBdr>
      <w:divsChild>
        <w:div w:id="581960823">
          <w:marLeft w:val="0"/>
          <w:marRight w:val="0"/>
          <w:marTop w:val="0"/>
          <w:marBottom w:val="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351879887">
      <w:bodyDiv w:val="1"/>
      <w:marLeft w:val="0"/>
      <w:marRight w:val="0"/>
      <w:marTop w:val="0"/>
      <w:marBottom w:val="0"/>
      <w:divBdr>
        <w:top w:val="none" w:sz="0" w:space="0" w:color="auto"/>
        <w:left w:val="none" w:sz="0" w:space="0" w:color="auto"/>
        <w:bottom w:val="none" w:sz="0" w:space="0" w:color="auto"/>
        <w:right w:val="none" w:sz="0" w:space="0" w:color="auto"/>
      </w:divBdr>
      <w:divsChild>
        <w:div w:id="1939749079">
          <w:marLeft w:val="0"/>
          <w:marRight w:val="0"/>
          <w:marTop w:val="0"/>
          <w:marBottom w:val="206"/>
          <w:divBdr>
            <w:top w:val="none" w:sz="0" w:space="0" w:color="auto"/>
            <w:left w:val="none" w:sz="0" w:space="0" w:color="auto"/>
            <w:bottom w:val="none" w:sz="0" w:space="0" w:color="auto"/>
            <w:right w:val="none" w:sz="0" w:space="0" w:color="auto"/>
          </w:divBdr>
        </w:div>
        <w:div w:id="498038888">
          <w:marLeft w:val="0"/>
          <w:marRight w:val="0"/>
          <w:marTop w:val="0"/>
          <w:marBottom w:val="206"/>
          <w:divBdr>
            <w:top w:val="none" w:sz="0" w:space="0" w:color="auto"/>
            <w:left w:val="none" w:sz="0" w:space="0" w:color="auto"/>
            <w:bottom w:val="none" w:sz="0" w:space="0" w:color="auto"/>
            <w:right w:val="none" w:sz="0" w:space="0" w:color="auto"/>
          </w:divBdr>
        </w:div>
        <w:div w:id="1978143162">
          <w:marLeft w:val="0"/>
          <w:marRight w:val="0"/>
          <w:marTop w:val="0"/>
          <w:marBottom w:val="0"/>
          <w:divBdr>
            <w:top w:val="none" w:sz="0" w:space="0" w:color="auto"/>
            <w:left w:val="none" w:sz="0" w:space="0" w:color="auto"/>
            <w:bottom w:val="none" w:sz="0" w:space="0" w:color="auto"/>
            <w:right w:val="none" w:sz="0" w:space="0" w:color="auto"/>
          </w:divBdr>
        </w:div>
        <w:div w:id="727460154">
          <w:marLeft w:val="0"/>
          <w:marRight w:val="0"/>
          <w:marTop w:val="0"/>
          <w:marBottom w:val="0"/>
          <w:divBdr>
            <w:top w:val="none" w:sz="0" w:space="0" w:color="auto"/>
            <w:left w:val="none" w:sz="0" w:space="0" w:color="auto"/>
            <w:bottom w:val="none" w:sz="0" w:space="0" w:color="auto"/>
            <w:right w:val="none" w:sz="0" w:space="0" w:color="auto"/>
          </w:divBdr>
        </w:div>
        <w:div w:id="429472864">
          <w:marLeft w:val="0"/>
          <w:marRight w:val="0"/>
          <w:marTop w:val="206"/>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144411">
      <w:bodyDiv w:val="1"/>
      <w:marLeft w:val="0"/>
      <w:marRight w:val="0"/>
      <w:marTop w:val="0"/>
      <w:marBottom w:val="0"/>
      <w:divBdr>
        <w:top w:val="none" w:sz="0" w:space="0" w:color="auto"/>
        <w:left w:val="none" w:sz="0" w:space="0" w:color="auto"/>
        <w:bottom w:val="none" w:sz="0" w:space="0" w:color="auto"/>
        <w:right w:val="none" w:sz="0" w:space="0" w:color="auto"/>
      </w:divBdr>
      <w:divsChild>
        <w:div w:id="904148708">
          <w:marLeft w:val="0"/>
          <w:marRight w:val="0"/>
          <w:marTop w:val="0"/>
          <w:marBottom w:val="0"/>
          <w:divBdr>
            <w:top w:val="none" w:sz="0" w:space="0" w:color="auto"/>
            <w:left w:val="none" w:sz="0" w:space="0" w:color="auto"/>
            <w:bottom w:val="none" w:sz="0" w:space="0" w:color="auto"/>
            <w:right w:val="none" w:sz="0" w:space="0" w:color="auto"/>
          </w:divBdr>
          <w:divsChild>
            <w:div w:id="612250303">
              <w:marLeft w:val="0"/>
              <w:marRight w:val="0"/>
              <w:marTop w:val="0"/>
              <w:marBottom w:val="0"/>
              <w:divBdr>
                <w:top w:val="none" w:sz="0" w:space="0" w:color="auto"/>
                <w:left w:val="none" w:sz="0" w:space="0" w:color="auto"/>
                <w:bottom w:val="none" w:sz="0" w:space="0" w:color="auto"/>
                <w:right w:val="none" w:sz="0" w:space="0" w:color="auto"/>
              </w:divBdr>
            </w:div>
            <w:div w:id="1789543239">
              <w:marLeft w:val="0"/>
              <w:marRight w:val="0"/>
              <w:marTop w:val="0"/>
              <w:marBottom w:val="0"/>
              <w:divBdr>
                <w:top w:val="none" w:sz="0" w:space="0" w:color="auto"/>
                <w:left w:val="none" w:sz="0" w:space="0" w:color="auto"/>
                <w:bottom w:val="none" w:sz="0" w:space="0" w:color="auto"/>
                <w:right w:val="none" w:sz="0" w:space="0" w:color="auto"/>
              </w:divBdr>
            </w:div>
            <w:div w:id="498034776">
              <w:marLeft w:val="0"/>
              <w:marRight w:val="0"/>
              <w:marTop w:val="0"/>
              <w:marBottom w:val="0"/>
              <w:divBdr>
                <w:top w:val="none" w:sz="0" w:space="0" w:color="auto"/>
                <w:left w:val="none" w:sz="0" w:space="0" w:color="auto"/>
                <w:bottom w:val="none" w:sz="0" w:space="0" w:color="auto"/>
                <w:right w:val="none" w:sz="0" w:space="0" w:color="auto"/>
              </w:divBdr>
            </w:div>
            <w:div w:id="597719944">
              <w:marLeft w:val="0"/>
              <w:marRight w:val="0"/>
              <w:marTop w:val="0"/>
              <w:marBottom w:val="0"/>
              <w:divBdr>
                <w:top w:val="none" w:sz="0" w:space="0" w:color="auto"/>
                <w:left w:val="none" w:sz="0" w:space="0" w:color="auto"/>
                <w:bottom w:val="none" w:sz="0" w:space="0" w:color="auto"/>
                <w:right w:val="none" w:sz="0" w:space="0" w:color="auto"/>
              </w:divBdr>
            </w:div>
            <w:div w:id="454064680">
              <w:marLeft w:val="0"/>
              <w:marRight w:val="0"/>
              <w:marTop w:val="0"/>
              <w:marBottom w:val="0"/>
              <w:divBdr>
                <w:top w:val="none" w:sz="0" w:space="0" w:color="auto"/>
                <w:left w:val="none" w:sz="0" w:space="0" w:color="auto"/>
                <w:bottom w:val="none" w:sz="0" w:space="0" w:color="auto"/>
                <w:right w:val="none" w:sz="0" w:space="0" w:color="auto"/>
              </w:divBdr>
            </w:div>
            <w:div w:id="1784298190">
              <w:marLeft w:val="0"/>
              <w:marRight w:val="0"/>
              <w:marTop w:val="0"/>
              <w:marBottom w:val="0"/>
              <w:divBdr>
                <w:top w:val="none" w:sz="0" w:space="0" w:color="auto"/>
                <w:left w:val="none" w:sz="0" w:space="0" w:color="auto"/>
                <w:bottom w:val="none" w:sz="0" w:space="0" w:color="auto"/>
                <w:right w:val="none" w:sz="0" w:space="0" w:color="auto"/>
              </w:divBdr>
            </w:div>
            <w:div w:id="2092771674">
              <w:marLeft w:val="0"/>
              <w:marRight w:val="0"/>
              <w:marTop w:val="0"/>
              <w:marBottom w:val="0"/>
              <w:divBdr>
                <w:top w:val="none" w:sz="0" w:space="0" w:color="auto"/>
                <w:left w:val="none" w:sz="0" w:space="0" w:color="auto"/>
                <w:bottom w:val="none" w:sz="0" w:space="0" w:color="auto"/>
                <w:right w:val="none" w:sz="0" w:space="0" w:color="auto"/>
              </w:divBdr>
            </w:div>
            <w:div w:id="2053769292">
              <w:marLeft w:val="0"/>
              <w:marRight w:val="0"/>
              <w:marTop w:val="0"/>
              <w:marBottom w:val="0"/>
              <w:divBdr>
                <w:top w:val="none" w:sz="0" w:space="0" w:color="auto"/>
                <w:left w:val="none" w:sz="0" w:space="0" w:color="auto"/>
                <w:bottom w:val="none" w:sz="0" w:space="0" w:color="auto"/>
                <w:right w:val="none" w:sz="0" w:space="0" w:color="auto"/>
              </w:divBdr>
            </w:div>
            <w:div w:id="1708993344">
              <w:marLeft w:val="0"/>
              <w:marRight w:val="0"/>
              <w:marTop w:val="0"/>
              <w:marBottom w:val="0"/>
              <w:divBdr>
                <w:top w:val="none" w:sz="0" w:space="0" w:color="auto"/>
                <w:left w:val="none" w:sz="0" w:space="0" w:color="auto"/>
                <w:bottom w:val="none" w:sz="0" w:space="0" w:color="auto"/>
                <w:right w:val="none" w:sz="0" w:space="0" w:color="auto"/>
              </w:divBdr>
            </w:div>
            <w:div w:id="1232273977">
              <w:marLeft w:val="0"/>
              <w:marRight w:val="0"/>
              <w:marTop w:val="0"/>
              <w:marBottom w:val="0"/>
              <w:divBdr>
                <w:top w:val="none" w:sz="0" w:space="0" w:color="auto"/>
                <w:left w:val="none" w:sz="0" w:space="0" w:color="auto"/>
                <w:bottom w:val="none" w:sz="0" w:space="0" w:color="auto"/>
                <w:right w:val="none" w:sz="0" w:space="0" w:color="auto"/>
              </w:divBdr>
            </w:div>
            <w:div w:id="1533152886">
              <w:marLeft w:val="0"/>
              <w:marRight w:val="0"/>
              <w:marTop w:val="0"/>
              <w:marBottom w:val="0"/>
              <w:divBdr>
                <w:top w:val="none" w:sz="0" w:space="0" w:color="auto"/>
                <w:left w:val="none" w:sz="0" w:space="0" w:color="auto"/>
                <w:bottom w:val="none" w:sz="0" w:space="0" w:color="auto"/>
                <w:right w:val="none" w:sz="0" w:space="0" w:color="auto"/>
              </w:divBdr>
            </w:div>
            <w:div w:id="1513763334">
              <w:marLeft w:val="0"/>
              <w:marRight w:val="0"/>
              <w:marTop w:val="0"/>
              <w:marBottom w:val="0"/>
              <w:divBdr>
                <w:top w:val="none" w:sz="0" w:space="0" w:color="auto"/>
                <w:left w:val="none" w:sz="0" w:space="0" w:color="auto"/>
                <w:bottom w:val="none" w:sz="0" w:space="0" w:color="auto"/>
                <w:right w:val="none" w:sz="0" w:space="0" w:color="auto"/>
              </w:divBdr>
            </w:div>
            <w:div w:id="678889745">
              <w:marLeft w:val="0"/>
              <w:marRight w:val="0"/>
              <w:marTop w:val="0"/>
              <w:marBottom w:val="0"/>
              <w:divBdr>
                <w:top w:val="none" w:sz="0" w:space="0" w:color="auto"/>
                <w:left w:val="none" w:sz="0" w:space="0" w:color="auto"/>
                <w:bottom w:val="none" w:sz="0" w:space="0" w:color="auto"/>
                <w:right w:val="none" w:sz="0" w:space="0" w:color="auto"/>
              </w:divBdr>
            </w:div>
            <w:div w:id="1485783074">
              <w:marLeft w:val="0"/>
              <w:marRight w:val="0"/>
              <w:marTop w:val="0"/>
              <w:marBottom w:val="0"/>
              <w:divBdr>
                <w:top w:val="none" w:sz="0" w:space="0" w:color="auto"/>
                <w:left w:val="none" w:sz="0" w:space="0" w:color="auto"/>
                <w:bottom w:val="none" w:sz="0" w:space="0" w:color="auto"/>
                <w:right w:val="none" w:sz="0" w:space="0" w:color="auto"/>
              </w:divBdr>
            </w:div>
            <w:div w:id="1636137815">
              <w:marLeft w:val="0"/>
              <w:marRight w:val="0"/>
              <w:marTop w:val="0"/>
              <w:marBottom w:val="0"/>
              <w:divBdr>
                <w:top w:val="none" w:sz="0" w:space="0" w:color="auto"/>
                <w:left w:val="none" w:sz="0" w:space="0" w:color="auto"/>
                <w:bottom w:val="none" w:sz="0" w:space="0" w:color="auto"/>
                <w:right w:val="none" w:sz="0" w:space="0" w:color="auto"/>
              </w:divBdr>
            </w:div>
            <w:div w:id="677850705">
              <w:marLeft w:val="0"/>
              <w:marRight w:val="0"/>
              <w:marTop w:val="0"/>
              <w:marBottom w:val="0"/>
              <w:divBdr>
                <w:top w:val="none" w:sz="0" w:space="0" w:color="auto"/>
                <w:left w:val="none" w:sz="0" w:space="0" w:color="auto"/>
                <w:bottom w:val="none" w:sz="0" w:space="0" w:color="auto"/>
                <w:right w:val="none" w:sz="0" w:space="0" w:color="auto"/>
              </w:divBdr>
            </w:div>
            <w:div w:id="1778672903">
              <w:marLeft w:val="0"/>
              <w:marRight w:val="0"/>
              <w:marTop w:val="0"/>
              <w:marBottom w:val="0"/>
              <w:divBdr>
                <w:top w:val="none" w:sz="0" w:space="0" w:color="auto"/>
                <w:left w:val="none" w:sz="0" w:space="0" w:color="auto"/>
                <w:bottom w:val="none" w:sz="0" w:space="0" w:color="auto"/>
                <w:right w:val="none" w:sz="0" w:space="0" w:color="auto"/>
              </w:divBdr>
            </w:div>
            <w:div w:id="1557203855">
              <w:marLeft w:val="0"/>
              <w:marRight w:val="0"/>
              <w:marTop w:val="0"/>
              <w:marBottom w:val="0"/>
              <w:divBdr>
                <w:top w:val="none" w:sz="0" w:space="0" w:color="auto"/>
                <w:left w:val="none" w:sz="0" w:space="0" w:color="auto"/>
                <w:bottom w:val="none" w:sz="0" w:space="0" w:color="auto"/>
                <w:right w:val="none" w:sz="0" w:space="0" w:color="auto"/>
              </w:divBdr>
            </w:div>
            <w:div w:id="296423583">
              <w:marLeft w:val="0"/>
              <w:marRight w:val="0"/>
              <w:marTop w:val="0"/>
              <w:marBottom w:val="0"/>
              <w:divBdr>
                <w:top w:val="none" w:sz="0" w:space="0" w:color="auto"/>
                <w:left w:val="none" w:sz="0" w:space="0" w:color="auto"/>
                <w:bottom w:val="none" w:sz="0" w:space="0" w:color="auto"/>
                <w:right w:val="none" w:sz="0" w:space="0" w:color="auto"/>
              </w:divBdr>
            </w:div>
            <w:div w:id="713772313">
              <w:marLeft w:val="0"/>
              <w:marRight w:val="0"/>
              <w:marTop w:val="0"/>
              <w:marBottom w:val="0"/>
              <w:divBdr>
                <w:top w:val="none" w:sz="0" w:space="0" w:color="auto"/>
                <w:left w:val="none" w:sz="0" w:space="0" w:color="auto"/>
                <w:bottom w:val="none" w:sz="0" w:space="0" w:color="auto"/>
                <w:right w:val="none" w:sz="0" w:space="0" w:color="auto"/>
              </w:divBdr>
            </w:div>
            <w:div w:id="1757045280">
              <w:marLeft w:val="0"/>
              <w:marRight w:val="0"/>
              <w:marTop w:val="0"/>
              <w:marBottom w:val="0"/>
              <w:divBdr>
                <w:top w:val="none" w:sz="0" w:space="0" w:color="auto"/>
                <w:left w:val="none" w:sz="0" w:space="0" w:color="auto"/>
                <w:bottom w:val="none" w:sz="0" w:space="0" w:color="auto"/>
                <w:right w:val="none" w:sz="0" w:space="0" w:color="auto"/>
              </w:divBdr>
            </w:div>
            <w:div w:id="425347219">
              <w:marLeft w:val="0"/>
              <w:marRight w:val="0"/>
              <w:marTop w:val="0"/>
              <w:marBottom w:val="0"/>
              <w:divBdr>
                <w:top w:val="none" w:sz="0" w:space="0" w:color="auto"/>
                <w:left w:val="none" w:sz="0" w:space="0" w:color="auto"/>
                <w:bottom w:val="none" w:sz="0" w:space="0" w:color="auto"/>
                <w:right w:val="none" w:sz="0" w:space="0" w:color="auto"/>
              </w:divBdr>
            </w:div>
            <w:div w:id="1087193304">
              <w:marLeft w:val="0"/>
              <w:marRight w:val="0"/>
              <w:marTop w:val="0"/>
              <w:marBottom w:val="0"/>
              <w:divBdr>
                <w:top w:val="none" w:sz="0" w:space="0" w:color="auto"/>
                <w:left w:val="none" w:sz="0" w:space="0" w:color="auto"/>
                <w:bottom w:val="none" w:sz="0" w:space="0" w:color="auto"/>
                <w:right w:val="none" w:sz="0" w:space="0" w:color="auto"/>
              </w:divBdr>
            </w:div>
            <w:div w:id="809443007">
              <w:marLeft w:val="0"/>
              <w:marRight w:val="0"/>
              <w:marTop w:val="0"/>
              <w:marBottom w:val="0"/>
              <w:divBdr>
                <w:top w:val="none" w:sz="0" w:space="0" w:color="auto"/>
                <w:left w:val="none" w:sz="0" w:space="0" w:color="auto"/>
                <w:bottom w:val="none" w:sz="0" w:space="0" w:color="auto"/>
                <w:right w:val="none" w:sz="0" w:space="0" w:color="auto"/>
              </w:divBdr>
            </w:div>
            <w:div w:id="260841979">
              <w:marLeft w:val="0"/>
              <w:marRight w:val="0"/>
              <w:marTop w:val="0"/>
              <w:marBottom w:val="0"/>
              <w:divBdr>
                <w:top w:val="none" w:sz="0" w:space="0" w:color="auto"/>
                <w:left w:val="none" w:sz="0" w:space="0" w:color="auto"/>
                <w:bottom w:val="none" w:sz="0" w:space="0" w:color="auto"/>
                <w:right w:val="none" w:sz="0" w:space="0" w:color="auto"/>
              </w:divBdr>
            </w:div>
            <w:div w:id="531917654">
              <w:marLeft w:val="0"/>
              <w:marRight w:val="0"/>
              <w:marTop w:val="0"/>
              <w:marBottom w:val="0"/>
              <w:divBdr>
                <w:top w:val="none" w:sz="0" w:space="0" w:color="auto"/>
                <w:left w:val="none" w:sz="0" w:space="0" w:color="auto"/>
                <w:bottom w:val="none" w:sz="0" w:space="0" w:color="auto"/>
                <w:right w:val="none" w:sz="0" w:space="0" w:color="auto"/>
              </w:divBdr>
            </w:div>
            <w:div w:id="1503354990">
              <w:marLeft w:val="0"/>
              <w:marRight w:val="0"/>
              <w:marTop w:val="0"/>
              <w:marBottom w:val="0"/>
              <w:divBdr>
                <w:top w:val="none" w:sz="0" w:space="0" w:color="auto"/>
                <w:left w:val="none" w:sz="0" w:space="0" w:color="auto"/>
                <w:bottom w:val="none" w:sz="0" w:space="0" w:color="auto"/>
                <w:right w:val="none" w:sz="0" w:space="0" w:color="auto"/>
              </w:divBdr>
            </w:div>
            <w:div w:id="184867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73279306">
      <w:bodyDiv w:val="1"/>
      <w:marLeft w:val="0"/>
      <w:marRight w:val="0"/>
      <w:marTop w:val="0"/>
      <w:marBottom w:val="0"/>
      <w:divBdr>
        <w:top w:val="none" w:sz="0" w:space="0" w:color="auto"/>
        <w:left w:val="none" w:sz="0" w:space="0" w:color="auto"/>
        <w:bottom w:val="none" w:sz="0" w:space="0" w:color="auto"/>
        <w:right w:val="none" w:sz="0" w:space="0" w:color="auto"/>
      </w:divBdr>
      <w:divsChild>
        <w:div w:id="1000426371">
          <w:marLeft w:val="0"/>
          <w:marRight w:val="0"/>
          <w:marTop w:val="0"/>
          <w:marBottom w:val="206"/>
          <w:divBdr>
            <w:top w:val="none" w:sz="0" w:space="0" w:color="auto"/>
            <w:left w:val="none" w:sz="0" w:space="0" w:color="auto"/>
            <w:bottom w:val="none" w:sz="0" w:space="0" w:color="auto"/>
            <w:right w:val="none" w:sz="0" w:space="0" w:color="auto"/>
          </w:divBdr>
        </w:div>
        <w:div w:id="149492891">
          <w:marLeft w:val="0"/>
          <w:marRight w:val="0"/>
          <w:marTop w:val="0"/>
          <w:marBottom w:val="206"/>
          <w:divBdr>
            <w:top w:val="none" w:sz="0" w:space="0" w:color="auto"/>
            <w:left w:val="none" w:sz="0" w:space="0" w:color="auto"/>
            <w:bottom w:val="none" w:sz="0" w:space="0" w:color="auto"/>
            <w:right w:val="none" w:sz="0" w:space="0" w:color="auto"/>
          </w:divBdr>
        </w:div>
        <w:div w:id="1883516696">
          <w:marLeft w:val="0"/>
          <w:marRight w:val="0"/>
          <w:marTop w:val="0"/>
          <w:marBottom w:val="0"/>
          <w:divBdr>
            <w:top w:val="none" w:sz="0" w:space="0" w:color="auto"/>
            <w:left w:val="none" w:sz="0" w:space="0" w:color="auto"/>
            <w:bottom w:val="none" w:sz="0" w:space="0" w:color="auto"/>
            <w:right w:val="none" w:sz="0" w:space="0" w:color="auto"/>
          </w:divBdr>
        </w:div>
        <w:div w:id="1101414926">
          <w:marLeft w:val="0"/>
          <w:marRight w:val="0"/>
          <w:marTop w:val="0"/>
          <w:marBottom w:val="0"/>
          <w:divBdr>
            <w:top w:val="none" w:sz="0" w:space="0" w:color="auto"/>
            <w:left w:val="none" w:sz="0" w:space="0" w:color="auto"/>
            <w:bottom w:val="none" w:sz="0" w:space="0" w:color="auto"/>
            <w:right w:val="none" w:sz="0" w:space="0" w:color="auto"/>
          </w:divBdr>
        </w:div>
        <w:div w:id="784734256">
          <w:marLeft w:val="0"/>
          <w:marRight w:val="0"/>
          <w:marTop w:val="206"/>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80646699">
      <w:bodyDiv w:val="1"/>
      <w:marLeft w:val="0"/>
      <w:marRight w:val="0"/>
      <w:marTop w:val="0"/>
      <w:marBottom w:val="0"/>
      <w:divBdr>
        <w:top w:val="none" w:sz="0" w:space="0" w:color="auto"/>
        <w:left w:val="none" w:sz="0" w:space="0" w:color="auto"/>
        <w:bottom w:val="none" w:sz="0" w:space="0" w:color="auto"/>
        <w:right w:val="none" w:sz="0" w:space="0" w:color="auto"/>
      </w:divBdr>
      <w:divsChild>
        <w:div w:id="1806005069">
          <w:marLeft w:val="0"/>
          <w:marRight w:val="0"/>
          <w:marTop w:val="0"/>
          <w:marBottom w:val="0"/>
          <w:divBdr>
            <w:top w:val="none" w:sz="0" w:space="0" w:color="auto"/>
            <w:left w:val="none" w:sz="0" w:space="0" w:color="auto"/>
            <w:bottom w:val="none" w:sz="0" w:space="0" w:color="auto"/>
            <w:right w:val="none" w:sz="0" w:space="0" w:color="auto"/>
          </w:divBdr>
          <w:divsChild>
            <w:div w:id="1486697725">
              <w:marLeft w:val="0"/>
              <w:marRight w:val="0"/>
              <w:marTop w:val="0"/>
              <w:marBottom w:val="0"/>
              <w:divBdr>
                <w:top w:val="none" w:sz="0" w:space="0" w:color="auto"/>
                <w:left w:val="none" w:sz="0" w:space="0" w:color="auto"/>
                <w:bottom w:val="none" w:sz="0" w:space="0" w:color="auto"/>
                <w:right w:val="none" w:sz="0" w:space="0" w:color="auto"/>
              </w:divBdr>
            </w:div>
            <w:div w:id="1235555943">
              <w:marLeft w:val="0"/>
              <w:marRight w:val="0"/>
              <w:marTop w:val="0"/>
              <w:marBottom w:val="0"/>
              <w:divBdr>
                <w:top w:val="none" w:sz="0" w:space="0" w:color="auto"/>
                <w:left w:val="none" w:sz="0" w:space="0" w:color="auto"/>
                <w:bottom w:val="none" w:sz="0" w:space="0" w:color="auto"/>
                <w:right w:val="none" w:sz="0" w:space="0" w:color="auto"/>
              </w:divBdr>
            </w:div>
            <w:div w:id="183783899">
              <w:marLeft w:val="0"/>
              <w:marRight w:val="0"/>
              <w:marTop w:val="0"/>
              <w:marBottom w:val="0"/>
              <w:divBdr>
                <w:top w:val="none" w:sz="0" w:space="0" w:color="auto"/>
                <w:left w:val="none" w:sz="0" w:space="0" w:color="auto"/>
                <w:bottom w:val="none" w:sz="0" w:space="0" w:color="auto"/>
                <w:right w:val="none" w:sz="0" w:space="0" w:color="auto"/>
              </w:divBdr>
            </w:div>
            <w:div w:id="1466318696">
              <w:marLeft w:val="0"/>
              <w:marRight w:val="0"/>
              <w:marTop w:val="0"/>
              <w:marBottom w:val="0"/>
              <w:divBdr>
                <w:top w:val="none" w:sz="0" w:space="0" w:color="auto"/>
                <w:left w:val="none" w:sz="0" w:space="0" w:color="auto"/>
                <w:bottom w:val="none" w:sz="0" w:space="0" w:color="auto"/>
                <w:right w:val="none" w:sz="0" w:space="0" w:color="auto"/>
              </w:divBdr>
            </w:div>
            <w:div w:id="96752972">
              <w:marLeft w:val="0"/>
              <w:marRight w:val="0"/>
              <w:marTop w:val="0"/>
              <w:marBottom w:val="0"/>
              <w:divBdr>
                <w:top w:val="none" w:sz="0" w:space="0" w:color="auto"/>
                <w:left w:val="none" w:sz="0" w:space="0" w:color="auto"/>
                <w:bottom w:val="none" w:sz="0" w:space="0" w:color="auto"/>
                <w:right w:val="none" w:sz="0" w:space="0" w:color="auto"/>
              </w:divBdr>
            </w:div>
            <w:div w:id="1746563506">
              <w:marLeft w:val="0"/>
              <w:marRight w:val="0"/>
              <w:marTop w:val="0"/>
              <w:marBottom w:val="0"/>
              <w:divBdr>
                <w:top w:val="none" w:sz="0" w:space="0" w:color="auto"/>
                <w:left w:val="none" w:sz="0" w:space="0" w:color="auto"/>
                <w:bottom w:val="none" w:sz="0" w:space="0" w:color="auto"/>
                <w:right w:val="none" w:sz="0" w:space="0" w:color="auto"/>
              </w:divBdr>
            </w:div>
            <w:div w:id="1667973484">
              <w:marLeft w:val="0"/>
              <w:marRight w:val="0"/>
              <w:marTop w:val="0"/>
              <w:marBottom w:val="0"/>
              <w:divBdr>
                <w:top w:val="none" w:sz="0" w:space="0" w:color="auto"/>
                <w:left w:val="none" w:sz="0" w:space="0" w:color="auto"/>
                <w:bottom w:val="none" w:sz="0" w:space="0" w:color="auto"/>
                <w:right w:val="none" w:sz="0" w:space="0" w:color="auto"/>
              </w:divBdr>
            </w:div>
            <w:div w:id="2044667367">
              <w:marLeft w:val="0"/>
              <w:marRight w:val="0"/>
              <w:marTop w:val="0"/>
              <w:marBottom w:val="0"/>
              <w:divBdr>
                <w:top w:val="none" w:sz="0" w:space="0" w:color="auto"/>
                <w:left w:val="none" w:sz="0" w:space="0" w:color="auto"/>
                <w:bottom w:val="none" w:sz="0" w:space="0" w:color="auto"/>
                <w:right w:val="none" w:sz="0" w:space="0" w:color="auto"/>
              </w:divBdr>
            </w:div>
            <w:div w:id="55917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5</Pages>
  <Words>1546</Words>
  <Characters>8814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19</cp:revision>
  <cp:lastPrinted>2019-04-25T01:09:00Z</cp:lastPrinted>
  <dcterms:created xsi:type="dcterms:W3CDTF">2025-03-25T02:43:00Z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6c567e0e95911ef80007f7a00007e7a">
    <vt:lpwstr>CWMRkA/16fToxF1J9Hn6DL9mHgk64/Eizj+yKyQSMlHjwm94KYC+WP8/eBhPim2LrF1weAg7qIEUsnhdpnP5+yGwg==</vt:lpwstr>
  </property>
</Properties>
</file>